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DE" w:rsidRPr="002749A3" w:rsidRDefault="006C11DE" w:rsidP="006C11DE">
      <w:pPr>
        <w:pStyle w:val="Title"/>
        <w:jc w:val="center"/>
        <w:rPr>
          <w:sz w:val="36"/>
        </w:rPr>
      </w:pPr>
      <w:r w:rsidRPr="002749A3">
        <w:rPr>
          <w:sz w:val="36"/>
        </w:rPr>
        <w:t>Differences between High School and College for Students with Disabilities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Description w:val="Description of how high school is different from college in terms of receiving accommodations."/>
      </w:tblPr>
      <w:tblGrid>
        <w:gridCol w:w="5395"/>
        <w:gridCol w:w="5400"/>
      </w:tblGrid>
      <w:tr w:rsidR="006C11DE" w:rsidTr="000002F5">
        <w:trPr>
          <w:trHeight w:val="512"/>
          <w:tblHeader/>
        </w:trPr>
        <w:tc>
          <w:tcPr>
            <w:tcW w:w="5395" w:type="dxa"/>
            <w:vAlign w:val="center"/>
          </w:tcPr>
          <w:p w:rsidR="006C11DE" w:rsidRDefault="006C11DE" w:rsidP="000002F5">
            <w:pPr>
              <w:pStyle w:val="Heading2"/>
              <w:jc w:val="center"/>
              <w:outlineLvl w:val="1"/>
            </w:pPr>
            <w:r>
              <w:t>High School</w:t>
            </w:r>
          </w:p>
        </w:tc>
        <w:tc>
          <w:tcPr>
            <w:tcW w:w="5400" w:type="dxa"/>
            <w:vAlign w:val="center"/>
          </w:tcPr>
          <w:p w:rsidR="006C11DE" w:rsidRDefault="006C11DE" w:rsidP="000002F5">
            <w:pPr>
              <w:pStyle w:val="Heading2"/>
              <w:jc w:val="center"/>
              <w:outlineLvl w:val="1"/>
            </w:pPr>
            <w:r>
              <w:t>College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Applicable Laws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IDEA (Individuals with Disabilities Education Act)</w:t>
            </w:r>
          </w:p>
        </w:tc>
        <w:tc>
          <w:tcPr>
            <w:tcW w:w="5400" w:type="dxa"/>
          </w:tcPr>
          <w:p w:rsidR="006C11DE" w:rsidRDefault="006C11DE" w:rsidP="000002F5">
            <w:r>
              <w:t>ADA (Americans with Disabilities Act of 1990)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Section 504, Rehabilitation Act of 1973</w:t>
            </w:r>
          </w:p>
        </w:tc>
        <w:tc>
          <w:tcPr>
            <w:tcW w:w="5400" w:type="dxa"/>
          </w:tcPr>
          <w:p w:rsidR="006C11DE" w:rsidRDefault="006C11DE" w:rsidP="000002F5">
            <w:r>
              <w:t>Section 504, Rehabilitation Act of 1973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IDEA ensures success; students entitled to services</w:t>
            </w:r>
          </w:p>
        </w:tc>
        <w:tc>
          <w:tcPr>
            <w:tcW w:w="5400" w:type="dxa"/>
          </w:tcPr>
          <w:p w:rsidR="006C11DE" w:rsidRDefault="006C11DE" w:rsidP="000002F5">
            <w:r>
              <w:t>ADA ensures equal access; protects from discrimination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Required Documentation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IEP (Individualized Education Plan) and/or 504 Plan</w:t>
            </w:r>
          </w:p>
        </w:tc>
        <w:tc>
          <w:tcPr>
            <w:tcW w:w="5400" w:type="dxa"/>
          </w:tcPr>
          <w:p w:rsidR="006C11DE" w:rsidRDefault="006C11DE" w:rsidP="000002F5">
            <w:r>
              <w:t>Documentation guidelines specify information needed for each category (IEP/504 Plan alone is insufficient)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School provides evaluation at no cost to student</w:t>
            </w:r>
          </w:p>
        </w:tc>
        <w:tc>
          <w:tcPr>
            <w:tcW w:w="5400" w:type="dxa"/>
          </w:tcPr>
          <w:p w:rsidR="006C11DE" w:rsidRDefault="006C11DE" w:rsidP="000002F5">
            <w:r>
              <w:t>Student must obtain evaluation at own expense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School retests over time</w:t>
            </w:r>
          </w:p>
        </w:tc>
        <w:tc>
          <w:tcPr>
            <w:tcW w:w="5400" w:type="dxa"/>
          </w:tcPr>
          <w:p w:rsidR="006C11DE" w:rsidRDefault="006C11DE" w:rsidP="000002F5">
            <w:r>
              <w:t>Additional accommodations and/or a change in the impact of the disability may warrant additional documentation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Self-Advocacy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Student is identified by the school and is supported by parents and teachers</w:t>
            </w:r>
          </w:p>
        </w:tc>
        <w:tc>
          <w:tcPr>
            <w:tcW w:w="5400" w:type="dxa"/>
          </w:tcPr>
          <w:p w:rsidR="006C11DE" w:rsidRDefault="006C11DE" w:rsidP="000002F5">
            <w:r>
              <w:t>Student must self-identify to the Support Services department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Primary responsibility for arranging accommodations belongs to the school</w:t>
            </w:r>
          </w:p>
        </w:tc>
        <w:tc>
          <w:tcPr>
            <w:tcW w:w="5400" w:type="dxa"/>
          </w:tcPr>
          <w:p w:rsidR="006C11DE" w:rsidRDefault="006C11DE" w:rsidP="000002F5">
            <w:r>
              <w:t>Primary responsibility for self-advocacy and requesting accommodations belongs to the student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Teachers approach the student if they believe assistance is needed</w:t>
            </w:r>
          </w:p>
        </w:tc>
        <w:tc>
          <w:tcPr>
            <w:tcW w:w="5400" w:type="dxa"/>
          </w:tcPr>
          <w:p w:rsidR="006C11DE" w:rsidRDefault="006C11DE" w:rsidP="000002F5">
            <w:r>
              <w:t>Professors are usually open and helpful, but most expect students to initiate contact if assistance is needed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Parental Role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Parent has access to student records and can participate in the accommodations process</w:t>
            </w:r>
          </w:p>
        </w:tc>
        <w:tc>
          <w:tcPr>
            <w:tcW w:w="5400" w:type="dxa"/>
          </w:tcPr>
          <w:p w:rsidR="006C11DE" w:rsidRDefault="006C11DE" w:rsidP="000002F5">
            <w:r>
              <w:t>Parent does not have access to student records without student’s written consent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Parent advocates for student</w:t>
            </w:r>
          </w:p>
        </w:tc>
        <w:tc>
          <w:tcPr>
            <w:tcW w:w="5400" w:type="dxa"/>
          </w:tcPr>
          <w:p w:rsidR="006C11DE" w:rsidRDefault="006C11DE" w:rsidP="000002F5">
            <w:r>
              <w:t>Student advocates for self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Disability Service Provider Role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School seeks out students and reminds/creates/coordinates additional resources as needed</w:t>
            </w:r>
          </w:p>
        </w:tc>
        <w:tc>
          <w:tcPr>
            <w:tcW w:w="5400" w:type="dxa"/>
          </w:tcPr>
          <w:p w:rsidR="006C11DE" w:rsidRDefault="006C11DE" w:rsidP="000002F5">
            <w:r>
              <w:t>Support Services determines eligibility for reasonable accommodations under the ADA and Section 504 upon request from student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Primary responsibility for accommodations belongs to the school</w:t>
            </w:r>
          </w:p>
        </w:tc>
        <w:tc>
          <w:tcPr>
            <w:tcW w:w="5400" w:type="dxa"/>
          </w:tcPr>
          <w:p w:rsidR="006C11DE" w:rsidRDefault="006C11DE" w:rsidP="000002F5">
            <w:r>
              <w:t>Support Services does not duplicate resources found elsewhere on campus; refers students to resources as students identify potential need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Instructors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Teachers may modify curriculum and/or alter curriculum pace of assignments</w:t>
            </w:r>
          </w:p>
        </w:tc>
        <w:tc>
          <w:tcPr>
            <w:tcW w:w="5400" w:type="dxa"/>
          </w:tcPr>
          <w:p w:rsidR="006C11DE" w:rsidRDefault="006C11DE" w:rsidP="000002F5">
            <w:r>
              <w:t>Instructors are not required to modify design or alter assignment deadlines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Teachers prompt students about grades assignments, and due dates</w:t>
            </w:r>
          </w:p>
        </w:tc>
        <w:tc>
          <w:tcPr>
            <w:tcW w:w="5400" w:type="dxa"/>
          </w:tcPr>
          <w:p w:rsidR="006C11DE" w:rsidRDefault="006C11DE" w:rsidP="000002F5">
            <w:r>
              <w:t>Student must monitor own progress and manage their time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Student is expected to complete assignments that are then discussed and often re-taught in class</w:t>
            </w:r>
          </w:p>
        </w:tc>
        <w:tc>
          <w:tcPr>
            <w:tcW w:w="5400" w:type="dxa"/>
          </w:tcPr>
          <w:p w:rsidR="006C11DE" w:rsidRDefault="006C11DE" w:rsidP="000002F5">
            <w:r>
              <w:t>Student is responsible for substantial amounts of homework which may not be directly addressed in class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Attendance is legally mandated</w:t>
            </w:r>
          </w:p>
        </w:tc>
        <w:tc>
          <w:tcPr>
            <w:tcW w:w="5400" w:type="dxa"/>
          </w:tcPr>
          <w:p w:rsidR="006C11DE" w:rsidRDefault="006C11DE" w:rsidP="000002F5">
            <w:r>
              <w:t>Attendance is the student’s responsibility; student accepts consequences of non-attendance</w:t>
            </w:r>
          </w:p>
        </w:tc>
      </w:tr>
      <w:tr w:rsidR="006C11DE" w:rsidTr="000002F5">
        <w:tc>
          <w:tcPr>
            <w:tcW w:w="10795" w:type="dxa"/>
            <w:gridSpan w:val="2"/>
          </w:tcPr>
          <w:p w:rsidR="006C11DE" w:rsidRDefault="006C11DE" w:rsidP="000002F5">
            <w:pPr>
              <w:pStyle w:val="Heading3"/>
              <w:jc w:val="center"/>
              <w:outlineLvl w:val="2"/>
            </w:pPr>
            <w:r>
              <w:t>Tests and Grades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t>IEP or 504 plan may include modifications to test format and/or grading</w:t>
            </w:r>
          </w:p>
        </w:tc>
        <w:tc>
          <w:tcPr>
            <w:tcW w:w="5400" w:type="dxa"/>
          </w:tcPr>
          <w:p w:rsidR="006C11DE" w:rsidRDefault="006C11DE" w:rsidP="000002F5">
            <w:r>
              <w:t>Grading and test format changes (i.e.</w:t>
            </w:r>
            <w:r w:rsidR="00497C79">
              <w:t xml:space="preserve"> multiple choice vs. essay) may </w:t>
            </w:r>
            <w:bookmarkStart w:id="0" w:name="_GoBack"/>
            <w:bookmarkEnd w:id="0"/>
            <w:r>
              <w:t>not available; accommodations on HOW tests are given (extended time, test proctors) are available when supported by disability documentation</w:t>
            </w:r>
          </w:p>
        </w:tc>
      </w:tr>
      <w:tr w:rsidR="006C11DE" w:rsidTr="000002F5">
        <w:tc>
          <w:tcPr>
            <w:tcW w:w="5395" w:type="dxa"/>
          </w:tcPr>
          <w:p w:rsidR="006C11DE" w:rsidRDefault="006C11DE" w:rsidP="000002F5">
            <w:r>
              <w:lastRenderedPageBreak/>
              <w:t>Teachers often take time to remind students of assignments and due dates</w:t>
            </w:r>
          </w:p>
        </w:tc>
        <w:tc>
          <w:tcPr>
            <w:tcW w:w="5400" w:type="dxa"/>
          </w:tcPr>
          <w:p w:rsidR="006C11DE" w:rsidRDefault="006C11DE" w:rsidP="000002F5">
            <w:r>
              <w:t>Instructors expect students to read, save, and consult the course syllabus, which spells out exactly what is expected, when things are due, and how the student will be graded</w:t>
            </w:r>
          </w:p>
        </w:tc>
      </w:tr>
    </w:tbl>
    <w:p w:rsidR="006C11DE" w:rsidRDefault="006C11DE" w:rsidP="006C11DE">
      <w:pPr>
        <w:pStyle w:val="Title"/>
      </w:pPr>
    </w:p>
    <w:p w:rsidR="009617C5" w:rsidRDefault="009617C5"/>
    <w:sectPr w:rsidR="009617C5" w:rsidSect="0008357B">
      <w:footerReference w:type="default" r:id="rId6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8A" w:rsidRDefault="006C3B8A">
      <w:r>
        <w:separator/>
      </w:r>
    </w:p>
  </w:endnote>
  <w:endnote w:type="continuationSeparator" w:id="0">
    <w:p w:rsidR="006C3B8A" w:rsidRDefault="006C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7B" w:rsidRDefault="006C3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8A" w:rsidRDefault="006C3B8A">
      <w:r>
        <w:separator/>
      </w:r>
    </w:p>
  </w:footnote>
  <w:footnote w:type="continuationSeparator" w:id="0">
    <w:p w:rsidR="006C3B8A" w:rsidRDefault="006C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DE"/>
    <w:rsid w:val="00497C79"/>
    <w:rsid w:val="006C11DE"/>
    <w:rsid w:val="006C3B8A"/>
    <w:rsid w:val="009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FC23"/>
  <w15:chartTrackingRefBased/>
  <w15:docId w15:val="{0244B806-2730-403C-852B-BF5AF08F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DE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1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1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11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11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11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C1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RCCC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Wagoner</dc:creator>
  <cp:keywords/>
  <dc:description/>
  <cp:lastModifiedBy>Holly Wagoner</cp:lastModifiedBy>
  <cp:revision>2</cp:revision>
  <dcterms:created xsi:type="dcterms:W3CDTF">2019-05-31T12:40:00Z</dcterms:created>
  <dcterms:modified xsi:type="dcterms:W3CDTF">2019-06-03T19:25:00Z</dcterms:modified>
</cp:coreProperties>
</file>