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5F5AC" w14:textId="77777777" w:rsidR="007B5C1C" w:rsidRPr="007B5C1C" w:rsidRDefault="007B5C1C" w:rsidP="007B5C1C">
      <w:pPr>
        <w:shd w:val="clear" w:color="auto" w:fill="FFFFFF"/>
        <w:spacing w:after="105" w:line="293" w:lineRule="atLeast"/>
        <w:outlineLvl w:val="1"/>
        <w:rPr>
          <w:rFonts w:ascii="Arial" w:eastAsia="Times New Roman" w:hAnsi="Arial" w:cs="Arial"/>
          <w:b/>
          <w:bCs/>
          <w:color w:val="000000"/>
          <w:sz w:val="51"/>
          <w:szCs w:val="51"/>
        </w:rPr>
      </w:pPr>
      <w:r w:rsidRPr="007B5C1C">
        <w:rPr>
          <w:rFonts w:ascii="Arial" w:eastAsia="Times New Roman" w:hAnsi="Arial" w:cs="Arial"/>
          <w:b/>
          <w:bCs/>
          <w:color w:val="000000"/>
          <w:sz w:val="51"/>
          <w:szCs w:val="51"/>
        </w:rPr>
        <w:t>Education level and projected openings, 2019–29</w:t>
      </w:r>
    </w:p>
    <w:p w14:paraId="3CCE8FDE"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proofErr w:type="spellStart"/>
      <w:r w:rsidRPr="007B5C1C">
        <w:rPr>
          <w:rFonts w:ascii="Tahoma" w:eastAsia="Times New Roman" w:hAnsi="Tahoma" w:cs="Tahoma"/>
          <w:i/>
          <w:iCs/>
          <w:color w:val="666666"/>
          <w:sz w:val="20"/>
          <w:szCs w:val="20"/>
        </w:rPr>
        <w:t>Elka</w:t>
      </w:r>
      <w:proofErr w:type="spellEnd"/>
      <w:r w:rsidRPr="007B5C1C">
        <w:rPr>
          <w:rFonts w:ascii="Tahoma" w:eastAsia="Times New Roman" w:hAnsi="Tahoma" w:cs="Tahoma"/>
          <w:i/>
          <w:iCs/>
          <w:color w:val="666666"/>
          <w:sz w:val="20"/>
          <w:szCs w:val="20"/>
        </w:rPr>
        <w:t xml:space="preserve"> </w:t>
      </w:r>
      <w:proofErr w:type="spellStart"/>
      <w:r w:rsidRPr="007B5C1C">
        <w:rPr>
          <w:rFonts w:ascii="Tahoma" w:eastAsia="Times New Roman" w:hAnsi="Tahoma" w:cs="Tahoma"/>
          <w:i/>
          <w:iCs/>
          <w:color w:val="666666"/>
          <w:sz w:val="20"/>
          <w:szCs w:val="20"/>
        </w:rPr>
        <w:t>Torpey</w:t>
      </w:r>
      <w:proofErr w:type="spellEnd"/>
      <w:r w:rsidRPr="007B5C1C">
        <w:rPr>
          <w:rFonts w:ascii="Tahoma" w:eastAsia="Times New Roman" w:hAnsi="Tahoma" w:cs="Tahoma"/>
          <w:color w:val="333333"/>
          <w:sz w:val="20"/>
          <w:szCs w:val="20"/>
        </w:rPr>
        <w:t> | </w:t>
      </w:r>
      <w:r w:rsidRPr="007B5C1C">
        <w:rPr>
          <w:rFonts w:ascii="Tahoma" w:eastAsia="Times New Roman" w:hAnsi="Tahoma" w:cs="Tahoma"/>
          <w:i/>
          <w:iCs/>
          <w:color w:val="666666"/>
          <w:sz w:val="20"/>
          <w:szCs w:val="20"/>
        </w:rPr>
        <w:t>October 2020</w:t>
      </w:r>
    </w:p>
    <w:p w14:paraId="5B71FCF5"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 xml:space="preserve">Perhaps you aspire to an </w:t>
      </w:r>
      <w:proofErr w:type="gramStart"/>
      <w:r w:rsidRPr="007B5C1C">
        <w:rPr>
          <w:rFonts w:ascii="Tahoma" w:eastAsia="Times New Roman" w:hAnsi="Tahoma" w:cs="Tahoma"/>
          <w:color w:val="333333"/>
          <w:sz w:val="20"/>
          <w:szCs w:val="20"/>
        </w:rPr>
        <w:t>associate’s</w:t>
      </w:r>
      <w:proofErr w:type="gramEnd"/>
      <w:r w:rsidRPr="007B5C1C">
        <w:rPr>
          <w:rFonts w:ascii="Tahoma" w:eastAsia="Times New Roman" w:hAnsi="Tahoma" w:cs="Tahoma"/>
          <w:color w:val="333333"/>
          <w:sz w:val="20"/>
          <w:szCs w:val="20"/>
        </w:rPr>
        <w:t xml:space="preserve"> degree, or you’re determined to get a doctorate. Or maybe you have no plans for formal education. Whatever your goal is, the U.S. Bureau of Labor Statistics (BLS) has data by education level that show which occupations are expected to have the most openings over the coming decade.</w:t>
      </w:r>
    </w:p>
    <w:p w14:paraId="3F021D85"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 xml:space="preserve">BLS makes long-term employment projections for nearly 800 detailed occupations. Each occupation is assigned to the education level </w:t>
      </w:r>
      <w:proofErr w:type="gramStart"/>
      <w:r w:rsidRPr="007B5C1C">
        <w:rPr>
          <w:rFonts w:ascii="Tahoma" w:eastAsia="Times New Roman" w:hAnsi="Tahoma" w:cs="Tahoma"/>
          <w:color w:val="333333"/>
          <w:sz w:val="20"/>
          <w:szCs w:val="20"/>
        </w:rPr>
        <w:t>that’s</w:t>
      </w:r>
      <w:proofErr w:type="gramEnd"/>
      <w:r w:rsidRPr="007B5C1C">
        <w:rPr>
          <w:rFonts w:ascii="Tahoma" w:eastAsia="Times New Roman" w:hAnsi="Tahoma" w:cs="Tahoma"/>
          <w:color w:val="333333"/>
          <w:sz w:val="20"/>
          <w:szCs w:val="20"/>
        </w:rPr>
        <w:t xml:space="preserve"> typically required for workers to enter. This article highlights 50 of the occupations that BLS projects to have the most openings each year, on average, from 2019 to 2029. These occupational openings are grouped by education level as follows:</w:t>
      </w:r>
    </w:p>
    <w:p w14:paraId="4F333AFA" w14:textId="77777777" w:rsidR="007B5C1C" w:rsidRPr="007B5C1C" w:rsidRDefault="007B5C1C" w:rsidP="007B5C1C">
      <w:pPr>
        <w:numPr>
          <w:ilvl w:val="0"/>
          <w:numId w:val="1"/>
        </w:numPr>
        <w:shd w:val="clear" w:color="auto" w:fill="FFFFFF"/>
        <w:spacing w:after="0" w:line="384" w:lineRule="atLeast"/>
        <w:ind w:left="870"/>
        <w:rPr>
          <w:rFonts w:ascii="Tahoma" w:eastAsia="Times New Roman" w:hAnsi="Tahoma" w:cs="Tahoma"/>
          <w:color w:val="000000"/>
          <w:sz w:val="20"/>
          <w:szCs w:val="20"/>
        </w:rPr>
      </w:pPr>
      <w:hyperlink r:id="rId5" w:anchor="s1" w:history="1">
        <w:r w:rsidRPr="007B5C1C">
          <w:rPr>
            <w:rFonts w:ascii="Tahoma" w:eastAsia="Times New Roman" w:hAnsi="Tahoma" w:cs="Tahoma"/>
            <w:color w:val="003399"/>
            <w:sz w:val="20"/>
            <w:szCs w:val="20"/>
            <w:u w:val="single"/>
          </w:rPr>
          <w:t>No formal educational credential</w:t>
        </w:r>
      </w:hyperlink>
    </w:p>
    <w:p w14:paraId="7B6A637B" w14:textId="77777777" w:rsidR="007B5C1C" w:rsidRPr="007B5C1C" w:rsidRDefault="007B5C1C" w:rsidP="007B5C1C">
      <w:pPr>
        <w:numPr>
          <w:ilvl w:val="0"/>
          <w:numId w:val="1"/>
        </w:numPr>
        <w:shd w:val="clear" w:color="auto" w:fill="FFFFFF"/>
        <w:spacing w:after="0" w:line="384" w:lineRule="atLeast"/>
        <w:ind w:left="870"/>
        <w:rPr>
          <w:rFonts w:ascii="Tahoma" w:eastAsia="Times New Roman" w:hAnsi="Tahoma" w:cs="Tahoma"/>
          <w:color w:val="000000"/>
          <w:sz w:val="20"/>
          <w:szCs w:val="20"/>
        </w:rPr>
      </w:pPr>
      <w:hyperlink r:id="rId6" w:anchor="s2" w:history="1">
        <w:r w:rsidRPr="007B5C1C">
          <w:rPr>
            <w:rFonts w:ascii="Tahoma" w:eastAsia="Times New Roman" w:hAnsi="Tahoma" w:cs="Tahoma"/>
            <w:color w:val="003399"/>
            <w:sz w:val="20"/>
            <w:szCs w:val="20"/>
            <w:u w:val="single"/>
          </w:rPr>
          <w:t>High school diploma or equivalent</w:t>
        </w:r>
      </w:hyperlink>
    </w:p>
    <w:p w14:paraId="3B775DA5" w14:textId="77777777" w:rsidR="007B5C1C" w:rsidRPr="007B5C1C" w:rsidRDefault="007B5C1C" w:rsidP="007B5C1C">
      <w:pPr>
        <w:numPr>
          <w:ilvl w:val="0"/>
          <w:numId w:val="1"/>
        </w:numPr>
        <w:shd w:val="clear" w:color="auto" w:fill="FFFFFF"/>
        <w:spacing w:after="0" w:line="384" w:lineRule="atLeast"/>
        <w:ind w:left="870"/>
        <w:rPr>
          <w:rFonts w:ascii="Tahoma" w:eastAsia="Times New Roman" w:hAnsi="Tahoma" w:cs="Tahoma"/>
          <w:color w:val="000000"/>
          <w:sz w:val="20"/>
          <w:szCs w:val="20"/>
        </w:rPr>
      </w:pPr>
      <w:hyperlink r:id="rId7" w:anchor="s3" w:history="1">
        <w:proofErr w:type="gramStart"/>
        <w:r w:rsidRPr="007B5C1C">
          <w:rPr>
            <w:rFonts w:ascii="Tahoma" w:eastAsia="Times New Roman" w:hAnsi="Tahoma" w:cs="Tahoma"/>
            <w:color w:val="003399"/>
            <w:sz w:val="20"/>
            <w:szCs w:val="20"/>
            <w:u w:val="single"/>
          </w:rPr>
          <w:t>Associate's</w:t>
        </w:r>
        <w:proofErr w:type="gramEnd"/>
        <w:r w:rsidRPr="007B5C1C">
          <w:rPr>
            <w:rFonts w:ascii="Tahoma" w:eastAsia="Times New Roman" w:hAnsi="Tahoma" w:cs="Tahoma"/>
            <w:color w:val="003399"/>
            <w:sz w:val="20"/>
            <w:szCs w:val="20"/>
            <w:u w:val="single"/>
          </w:rPr>
          <w:t xml:space="preserve"> degree; postsecondary nondegree award; and some college, no degree</w:t>
        </w:r>
      </w:hyperlink>
    </w:p>
    <w:p w14:paraId="6D50556F" w14:textId="77777777" w:rsidR="007B5C1C" w:rsidRPr="007B5C1C" w:rsidRDefault="007B5C1C" w:rsidP="007B5C1C">
      <w:pPr>
        <w:numPr>
          <w:ilvl w:val="0"/>
          <w:numId w:val="1"/>
        </w:numPr>
        <w:shd w:val="clear" w:color="auto" w:fill="FFFFFF"/>
        <w:spacing w:after="0" w:line="384" w:lineRule="atLeast"/>
        <w:ind w:left="870"/>
        <w:rPr>
          <w:rFonts w:ascii="Tahoma" w:eastAsia="Times New Roman" w:hAnsi="Tahoma" w:cs="Tahoma"/>
          <w:color w:val="000000"/>
          <w:sz w:val="20"/>
          <w:szCs w:val="20"/>
        </w:rPr>
      </w:pPr>
      <w:hyperlink r:id="rId8" w:anchor="s4" w:history="1">
        <w:r w:rsidRPr="007B5C1C">
          <w:rPr>
            <w:rFonts w:ascii="Tahoma" w:eastAsia="Times New Roman" w:hAnsi="Tahoma" w:cs="Tahoma"/>
            <w:color w:val="003399"/>
            <w:sz w:val="20"/>
            <w:szCs w:val="20"/>
            <w:u w:val="single"/>
          </w:rPr>
          <w:t>Bachelor's degree</w:t>
        </w:r>
      </w:hyperlink>
    </w:p>
    <w:p w14:paraId="3DEA8301" w14:textId="77777777" w:rsidR="007B5C1C" w:rsidRPr="007B5C1C" w:rsidRDefault="007B5C1C" w:rsidP="007B5C1C">
      <w:pPr>
        <w:numPr>
          <w:ilvl w:val="0"/>
          <w:numId w:val="1"/>
        </w:numPr>
        <w:shd w:val="clear" w:color="auto" w:fill="FFFFFF"/>
        <w:spacing w:after="0" w:line="384" w:lineRule="atLeast"/>
        <w:ind w:left="870"/>
        <w:rPr>
          <w:rFonts w:ascii="Tahoma" w:eastAsia="Times New Roman" w:hAnsi="Tahoma" w:cs="Tahoma"/>
          <w:color w:val="000000"/>
          <w:sz w:val="20"/>
          <w:szCs w:val="20"/>
        </w:rPr>
      </w:pPr>
      <w:hyperlink r:id="rId9" w:anchor="s5" w:history="1">
        <w:r w:rsidRPr="007B5C1C">
          <w:rPr>
            <w:rFonts w:ascii="Tahoma" w:eastAsia="Times New Roman" w:hAnsi="Tahoma" w:cs="Tahoma"/>
            <w:color w:val="003399"/>
            <w:sz w:val="20"/>
            <w:szCs w:val="20"/>
            <w:u w:val="single"/>
          </w:rPr>
          <w:t>Master's, doctoral, and professional degrees</w:t>
        </w:r>
      </w:hyperlink>
    </w:p>
    <w:p w14:paraId="68B0849E"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Across all occupations, BLS projects more than 17 million openings each year, on average, from 2019 to 2029. Openings arise from two sources: when new jobs are created from employment growth and when workers leave an occupation permanently, such as to transfer to another occupation or to retire.</w:t>
      </w:r>
    </w:p>
    <w:p w14:paraId="56DC97A2"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Keep reading to see tables showing projected openings and median annual wages at each of the education levels. (A median wage is the point at which half of workers made more than the amount, and half made less. In 2019, the median annual wage for all workers was $39,810.) The tables also indicate whether workers typically need experience in a related occupation for entry and whether on-the-job training to attain competency is typically required.</w:t>
      </w:r>
    </w:p>
    <w:p w14:paraId="67B213D1" w14:textId="77777777" w:rsidR="007B5C1C" w:rsidRPr="007B5C1C" w:rsidRDefault="007B5C1C" w:rsidP="007B5C1C">
      <w:pPr>
        <w:pBdr>
          <w:bottom w:val="single" w:sz="6" w:space="0" w:color="CCCCCC"/>
        </w:pBdr>
        <w:shd w:val="clear" w:color="auto" w:fill="FFFFFF"/>
        <w:spacing w:after="0" w:line="293" w:lineRule="atLeast"/>
        <w:outlineLvl w:val="2"/>
        <w:rPr>
          <w:rFonts w:ascii="Arial" w:eastAsia="Times New Roman" w:hAnsi="Arial" w:cs="Arial"/>
          <w:b/>
          <w:bCs/>
          <w:color w:val="183061"/>
          <w:sz w:val="36"/>
          <w:szCs w:val="36"/>
        </w:rPr>
      </w:pPr>
      <w:r w:rsidRPr="007B5C1C">
        <w:rPr>
          <w:rFonts w:ascii="Arial" w:eastAsia="Times New Roman" w:hAnsi="Arial" w:cs="Arial"/>
          <w:b/>
          <w:bCs/>
          <w:color w:val="183061"/>
          <w:sz w:val="36"/>
          <w:szCs w:val="36"/>
        </w:rPr>
        <w:t>No formal educational credential</w:t>
      </w:r>
    </w:p>
    <w:p w14:paraId="35AF1D55"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BLS classifies 103 occupations as not typically needing any formal educational credential. Table 1 shows the 10 occupations in this group that are projected to have the most openings each year, on average, from 2019 to 2029.</w:t>
      </w:r>
    </w:p>
    <w:p w14:paraId="1A0508A5"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r w:rsidRPr="007B5C1C">
        <w:rPr>
          <w:rFonts w:ascii="Arial" w:eastAsia="Times New Roman" w:hAnsi="Arial" w:cs="Arial"/>
          <w:noProof/>
          <w:color w:val="000000"/>
          <w:sz w:val="21"/>
          <w:szCs w:val="21"/>
        </w:rPr>
        <w:lastRenderedPageBreak/>
        <w:drawing>
          <wp:inline distT="0" distB="0" distL="0" distR="0" wp14:anchorId="6D3F861F" wp14:editId="3909424E">
            <wp:extent cx="6162675" cy="7381875"/>
            <wp:effectExtent l="0" t="0" r="9525" b="9525"/>
            <wp:docPr id="6" name="Picture 6" descr="Tabl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abl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62675" cy="7381875"/>
                    </a:xfrm>
                    <a:prstGeom prst="rect">
                      <a:avLst/>
                    </a:prstGeom>
                    <a:noFill/>
                    <a:ln>
                      <a:noFill/>
                    </a:ln>
                  </pic:spPr>
                </pic:pic>
              </a:graphicData>
            </a:graphic>
          </wp:inline>
        </w:drawing>
      </w:r>
    </w:p>
    <w:p w14:paraId="4E294F59"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hyperlink r:id="rId11" w:history="1">
        <w:r w:rsidRPr="007B5C1C">
          <w:rPr>
            <w:rFonts w:ascii="Arial" w:eastAsia="Times New Roman" w:hAnsi="Arial" w:cs="Arial"/>
            <w:color w:val="0000FF"/>
            <w:sz w:val="21"/>
            <w:szCs w:val="21"/>
            <w:u w:val="single"/>
          </w:rPr>
          <w:t>View Chart Data</w:t>
        </w:r>
      </w:hyperlink>
    </w:p>
    <w:p w14:paraId="21D5E605"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The occupations in table 1 account for about 68 percent of all openings projected at this education level. </w:t>
      </w:r>
      <w:hyperlink r:id="rId12" w:tgtFrame="_blank" w:history="1">
        <w:r w:rsidRPr="007B5C1C">
          <w:rPr>
            <w:rFonts w:ascii="Tahoma" w:eastAsia="Times New Roman" w:hAnsi="Tahoma" w:cs="Tahoma"/>
            <w:color w:val="003399"/>
            <w:sz w:val="20"/>
            <w:szCs w:val="20"/>
            <w:u w:val="single"/>
          </w:rPr>
          <w:t>Fast food and counter workers</w:t>
        </w:r>
      </w:hyperlink>
      <w:r w:rsidRPr="007B5C1C">
        <w:rPr>
          <w:rFonts w:ascii="Tahoma" w:eastAsia="Times New Roman" w:hAnsi="Tahoma" w:cs="Tahoma"/>
          <w:color w:val="333333"/>
          <w:sz w:val="20"/>
          <w:szCs w:val="20"/>
        </w:rPr>
        <w:t> </w:t>
      </w:r>
      <w:proofErr w:type="gramStart"/>
      <w:r w:rsidRPr="007B5C1C">
        <w:rPr>
          <w:rFonts w:ascii="Tahoma" w:eastAsia="Times New Roman" w:hAnsi="Tahoma" w:cs="Tahoma"/>
          <w:color w:val="333333"/>
          <w:sz w:val="20"/>
          <w:szCs w:val="20"/>
        </w:rPr>
        <w:t>is</w:t>
      </w:r>
      <w:proofErr w:type="gramEnd"/>
      <w:r w:rsidRPr="007B5C1C">
        <w:rPr>
          <w:rFonts w:ascii="Tahoma" w:eastAsia="Times New Roman" w:hAnsi="Tahoma" w:cs="Tahoma"/>
          <w:color w:val="333333"/>
          <w:sz w:val="20"/>
          <w:szCs w:val="20"/>
        </w:rPr>
        <w:t xml:space="preserve"> projected to have more openings than any other occupation in the </w:t>
      </w:r>
      <w:r w:rsidRPr="007B5C1C">
        <w:rPr>
          <w:rFonts w:ascii="Tahoma" w:eastAsia="Times New Roman" w:hAnsi="Tahoma" w:cs="Tahoma"/>
          <w:color w:val="333333"/>
          <w:sz w:val="20"/>
          <w:szCs w:val="20"/>
        </w:rPr>
        <w:lastRenderedPageBreak/>
        <w:t>economy: more than 800,000 each year, on average, from 2019 to 2029. Although most of these openings are expected from the need to replace workers who leave this large occupation each year, BLS also projects many new jobs to be created.</w:t>
      </w:r>
    </w:p>
    <w:p w14:paraId="25E61BBE"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Each of the occupations in table 1, like most at this education level, had wages below the median for all occupations. The occupations in the table may not require formal education, but they typically involve training on the job, often for 1 month or less.</w:t>
      </w:r>
    </w:p>
    <w:p w14:paraId="07C31E45" w14:textId="77777777" w:rsidR="007B5C1C" w:rsidRPr="007B5C1C" w:rsidRDefault="007B5C1C" w:rsidP="007B5C1C">
      <w:pPr>
        <w:pBdr>
          <w:bottom w:val="single" w:sz="6" w:space="0" w:color="CCCCCC"/>
        </w:pBdr>
        <w:shd w:val="clear" w:color="auto" w:fill="FFFFFF"/>
        <w:spacing w:after="0" w:line="293" w:lineRule="atLeast"/>
        <w:outlineLvl w:val="2"/>
        <w:rPr>
          <w:rFonts w:ascii="Arial" w:eastAsia="Times New Roman" w:hAnsi="Arial" w:cs="Arial"/>
          <w:b/>
          <w:bCs/>
          <w:color w:val="183061"/>
          <w:sz w:val="36"/>
          <w:szCs w:val="36"/>
        </w:rPr>
      </w:pPr>
      <w:r w:rsidRPr="007B5C1C">
        <w:rPr>
          <w:rFonts w:ascii="Arial" w:eastAsia="Times New Roman" w:hAnsi="Arial" w:cs="Arial"/>
          <w:b/>
          <w:bCs/>
          <w:color w:val="183061"/>
          <w:sz w:val="36"/>
          <w:szCs w:val="36"/>
        </w:rPr>
        <w:t>High school diploma or equivalent</w:t>
      </w:r>
    </w:p>
    <w:p w14:paraId="636CF32A"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There are 322 occupations that typically require a high school diploma or the equivalent (such as a GED)—nearly twice as many occupations as at any other level of education. Table 2 shows occupations at the high school level that are projected to have the most openings annually, on average, from 2019 to 2029.</w:t>
      </w:r>
    </w:p>
    <w:p w14:paraId="65B971A4"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r w:rsidRPr="007B5C1C">
        <w:rPr>
          <w:rFonts w:ascii="Arial" w:eastAsia="Times New Roman" w:hAnsi="Arial" w:cs="Arial"/>
          <w:noProof/>
          <w:color w:val="000000"/>
          <w:sz w:val="21"/>
          <w:szCs w:val="21"/>
        </w:rPr>
        <w:lastRenderedPageBreak/>
        <w:drawing>
          <wp:inline distT="0" distB="0" distL="0" distR="0" wp14:anchorId="33418BAB" wp14:editId="7497F716">
            <wp:extent cx="6181725" cy="7391400"/>
            <wp:effectExtent l="0" t="0" r="9525" b="0"/>
            <wp:docPr id="7" name="Picture 7" descr="Tabl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abl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81725" cy="7391400"/>
                    </a:xfrm>
                    <a:prstGeom prst="rect">
                      <a:avLst/>
                    </a:prstGeom>
                    <a:noFill/>
                    <a:ln>
                      <a:noFill/>
                    </a:ln>
                  </pic:spPr>
                </pic:pic>
              </a:graphicData>
            </a:graphic>
          </wp:inline>
        </w:drawing>
      </w:r>
    </w:p>
    <w:p w14:paraId="16498330"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hyperlink r:id="rId14" w:history="1">
        <w:r w:rsidRPr="007B5C1C">
          <w:rPr>
            <w:rFonts w:ascii="Arial" w:eastAsia="Times New Roman" w:hAnsi="Arial" w:cs="Arial"/>
            <w:color w:val="0000FF"/>
            <w:sz w:val="21"/>
            <w:szCs w:val="21"/>
            <w:u w:val="single"/>
          </w:rPr>
          <w:t>View Chart Data</w:t>
        </w:r>
      </w:hyperlink>
    </w:p>
    <w:p w14:paraId="1D3A7D6A"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 xml:space="preserve">Projected openings in the occupations in table 2 account for about 37 percent of the total number of openings expected in occupations at this education level. With more than a half million openings </w:t>
      </w:r>
      <w:r w:rsidRPr="007B5C1C">
        <w:rPr>
          <w:rFonts w:ascii="Tahoma" w:eastAsia="Times New Roman" w:hAnsi="Tahoma" w:cs="Tahoma"/>
          <w:color w:val="333333"/>
          <w:sz w:val="20"/>
          <w:szCs w:val="20"/>
        </w:rPr>
        <w:lastRenderedPageBreak/>
        <w:t>expected each year, on average, over the decade, </w:t>
      </w:r>
      <w:hyperlink r:id="rId15" w:tgtFrame="_blank" w:history="1">
        <w:r w:rsidRPr="007B5C1C">
          <w:rPr>
            <w:rFonts w:ascii="Tahoma" w:eastAsia="Times New Roman" w:hAnsi="Tahoma" w:cs="Tahoma"/>
            <w:color w:val="003399"/>
            <w:sz w:val="20"/>
            <w:szCs w:val="20"/>
            <w:u w:val="single"/>
          </w:rPr>
          <w:t>home health and personal care aides</w:t>
        </w:r>
      </w:hyperlink>
      <w:r w:rsidRPr="007B5C1C">
        <w:rPr>
          <w:rFonts w:ascii="Tahoma" w:eastAsia="Times New Roman" w:hAnsi="Tahoma" w:cs="Tahoma"/>
          <w:color w:val="333333"/>
          <w:sz w:val="20"/>
          <w:szCs w:val="20"/>
        </w:rPr>
        <w:t> is projected to have the most openings of the occupations in table 2. Many of the openings for these aides are expected to be from newly created jobs because this is also one of the fastest growing occupations.</w:t>
      </w:r>
    </w:p>
    <w:p w14:paraId="67EA0F17"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Although none of the occupations in this table had wages higher than the median for all occupations, more than half of the occupations at this education level did. In addition to a high school diploma or equivalent, most of the occupations in table 2 also typically require on-the-job training for workers to gain competency in their tasks.</w:t>
      </w:r>
    </w:p>
    <w:p w14:paraId="1951DF6B" w14:textId="77777777" w:rsidR="007B5C1C" w:rsidRPr="007B5C1C" w:rsidRDefault="007B5C1C" w:rsidP="007B5C1C">
      <w:pPr>
        <w:pBdr>
          <w:bottom w:val="single" w:sz="6" w:space="0" w:color="CCCCCC"/>
        </w:pBdr>
        <w:shd w:val="clear" w:color="auto" w:fill="FFFFFF"/>
        <w:spacing w:after="0" w:line="293" w:lineRule="atLeast"/>
        <w:outlineLvl w:val="2"/>
        <w:rPr>
          <w:rFonts w:ascii="Arial" w:eastAsia="Times New Roman" w:hAnsi="Arial" w:cs="Arial"/>
          <w:b/>
          <w:bCs/>
          <w:color w:val="183061"/>
          <w:sz w:val="36"/>
          <w:szCs w:val="36"/>
        </w:rPr>
      </w:pPr>
      <w:proofErr w:type="gramStart"/>
      <w:r w:rsidRPr="007B5C1C">
        <w:rPr>
          <w:rFonts w:ascii="Arial" w:eastAsia="Times New Roman" w:hAnsi="Arial" w:cs="Arial"/>
          <w:b/>
          <w:bCs/>
          <w:color w:val="183061"/>
          <w:sz w:val="36"/>
          <w:szCs w:val="36"/>
        </w:rPr>
        <w:t>Associate's</w:t>
      </w:r>
      <w:proofErr w:type="gramEnd"/>
      <w:r w:rsidRPr="007B5C1C">
        <w:rPr>
          <w:rFonts w:ascii="Arial" w:eastAsia="Times New Roman" w:hAnsi="Arial" w:cs="Arial"/>
          <w:b/>
          <w:bCs/>
          <w:color w:val="183061"/>
          <w:sz w:val="36"/>
          <w:szCs w:val="36"/>
        </w:rPr>
        <w:t xml:space="preserve"> degree; postsecondary nondegree award; and some college, no degree</w:t>
      </w:r>
    </w:p>
    <w:p w14:paraId="74F4BB39"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 xml:space="preserve">Nearly 100 occupations typically require some education beyond a high school diploma but less than a bachelor’s degree. Most of these occupations typically require an </w:t>
      </w:r>
      <w:proofErr w:type="gramStart"/>
      <w:r w:rsidRPr="007B5C1C">
        <w:rPr>
          <w:rFonts w:ascii="Tahoma" w:eastAsia="Times New Roman" w:hAnsi="Tahoma" w:cs="Tahoma"/>
          <w:color w:val="333333"/>
          <w:sz w:val="20"/>
          <w:szCs w:val="20"/>
        </w:rPr>
        <w:t>associate’s</w:t>
      </w:r>
      <w:proofErr w:type="gramEnd"/>
      <w:r w:rsidRPr="007B5C1C">
        <w:rPr>
          <w:rFonts w:ascii="Tahoma" w:eastAsia="Times New Roman" w:hAnsi="Tahoma" w:cs="Tahoma"/>
          <w:color w:val="333333"/>
          <w:sz w:val="20"/>
          <w:szCs w:val="20"/>
        </w:rPr>
        <w:t xml:space="preserve"> degree or a postsecondary nondegree award; six typically require some college but no degree. Table 3 shows the 10 occupations at these education levels that are projected to have the largest numbers of openings each year, on average, over the decade. (See table 3.)</w:t>
      </w:r>
    </w:p>
    <w:p w14:paraId="6BBF721D"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r w:rsidRPr="007B5C1C">
        <w:rPr>
          <w:rFonts w:ascii="Arial" w:eastAsia="Times New Roman" w:hAnsi="Arial" w:cs="Arial"/>
          <w:noProof/>
          <w:color w:val="000000"/>
          <w:sz w:val="21"/>
          <w:szCs w:val="21"/>
        </w:rPr>
        <w:lastRenderedPageBreak/>
        <w:drawing>
          <wp:inline distT="0" distB="0" distL="0" distR="0" wp14:anchorId="04EEEA47" wp14:editId="5C9E4CD4">
            <wp:extent cx="6172200" cy="7858125"/>
            <wp:effectExtent l="0" t="0" r="0" b="9525"/>
            <wp:docPr id="8" name="Picture 8" descr="Tabl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bl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72200" cy="7858125"/>
                    </a:xfrm>
                    <a:prstGeom prst="rect">
                      <a:avLst/>
                    </a:prstGeom>
                    <a:noFill/>
                    <a:ln>
                      <a:noFill/>
                    </a:ln>
                  </pic:spPr>
                </pic:pic>
              </a:graphicData>
            </a:graphic>
          </wp:inline>
        </w:drawing>
      </w:r>
    </w:p>
    <w:p w14:paraId="2A89BED8"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hyperlink r:id="rId17" w:history="1">
        <w:r w:rsidRPr="007B5C1C">
          <w:rPr>
            <w:rFonts w:ascii="Arial" w:eastAsia="Times New Roman" w:hAnsi="Arial" w:cs="Arial"/>
            <w:color w:val="0000FF"/>
            <w:sz w:val="21"/>
            <w:szCs w:val="21"/>
            <w:u w:val="single"/>
          </w:rPr>
          <w:t>View Chart Data</w:t>
        </w:r>
      </w:hyperlink>
    </w:p>
    <w:p w14:paraId="016B2523"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lastRenderedPageBreak/>
        <w:t xml:space="preserve">The occupational openings shown in the table account for about 62 percent of all openings projected in occupations that typically require an </w:t>
      </w:r>
      <w:proofErr w:type="gramStart"/>
      <w:r w:rsidRPr="007B5C1C">
        <w:rPr>
          <w:rFonts w:ascii="Tahoma" w:eastAsia="Times New Roman" w:hAnsi="Tahoma" w:cs="Tahoma"/>
          <w:color w:val="333333"/>
          <w:sz w:val="20"/>
          <w:szCs w:val="20"/>
        </w:rPr>
        <w:t>associate’s</w:t>
      </w:r>
      <w:proofErr w:type="gramEnd"/>
      <w:r w:rsidRPr="007B5C1C">
        <w:rPr>
          <w:rFonts w:ascii="Tahoma" w:eastAsia="Times New Roman" w:hAnsi="Tahoma" w:cs="Tahoma"/>
          <w:color w:val="333333"/>
          <w:sz w:val="20"/>
          <w:szCs w:val="20"/>
        </w:rPr>
        <w:t xml:space="preserve"> degree, postsecondary nondegree award, or some college but no degree. </w:t>
      </w:r>
      <w:hyperlink r:id="rId18" w:tgtFrame="_blank" w:history="1">
        <w:r w:rsidRPr="007B5C1C">
          <w:rPr>
            <w:rFonts w:ascii="Tahoma" w:eastAsia="Times New Roman" w:hAnsi="Tahoma" w:cs="Tahoma"/>
            <w:color w:val="003399"/>
            <w:sz w:val="20"/>
            <w:szCs w:val="20"/>
            <w:u w:val="single"/>
          </w:rPr>
          <w:t>Heavy and tractor trailer truck drivers</w:t>
        </w:r>
      </w:hyperlink>
      <w:r w:rsidRPr="007B5C1C">
        <w:rPr>
          <w:rFonts w:ascii="Tahoma" w:eastAsia="Times New Roman" w:hAnsi="Tahoma" w:cs="Tahoma"/>
          <w:color w:val="333333"/>
          <w:sz w:val="20"/>
          <w:szCs w:val="20"/>
        </w:rPr>
        <w:t> is projected to have the most openings of the occupations in table 3: about 209,200 each year, on average, from 2019 to 2029. The largest number of those openings is expected to be from the need to replace workers who leave the occupation permanently rather than from new jobs due to employment growth.</w:t>
      </w:r>
    </w:p>
    <w:p w14:paraId="067C59D4"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Half of the occupations in table 3 had wages that were higher than the median for all occupations. On-the-job training to attain competency is typically required in a few of the occupations in the table.</w:t>
      </w:r>
    </w:p>
    <w:p w14:paraId="6B8ED0A3" w14:textId="77777777" w:rsidR="007B5C1C" w:rsidRPr="007B5C1C" w:rsidRDefault="007B5C1C" w:rsidP="007B5C1C">
      <w:pPr>
        <w:pBdr>
          <w:bottom w:val="single" w:sz="6" w:space="0" w:color="CCCCCC"/>
        </w:pBdr>
        <w:shd w:val="clear" w:color="auto" w:fill="FFFFFF"/>
        <w:spacing w:after="0" w:line="293" w:lineRule="atLeast"/>
        <w:outlineLvl w:val="2"/>
        <w:rPr>
          <w:rFonts w:ascii="Arial" w:eastAsia="Times New Roman" w:hAnsi="Arial" w:cs="Arial"/>
          <w:b/>
          <w:bCs/>
          <w:color w:val="183061"/>
          <w:sz w:val="36"/>
          <w:szCs w:val="36"/>
        </w:rPr>
      </w:pPr>
      <w:r w:rsidRPr="007B5C1C">
        <w:rPr>
          <w:rFonts w:ascii="Arial" w:eastAsia="Times New Roman" w:hAnsi="Arial" w:cs="Arial"/>
          <w:b/>
          <w:bCs/>
          <w:color w:val="183061"/>
          <w:sz w:val="36"/>
          <w:szCs w:val="36"/>
        </w:rPr>
        <w:t>Bachelor's degree</w:t>
      </w:r>
    </w:p>
    <w:p w14:paraId="60E6F282"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A bachelor’s degree is typically required for entry in 169 occupations. Table 4 shows the occupations at this education level projected to have the most openings each year, on average, from 2019 to 2029.</w:t>
      </w:r>
    </w:p>
    <w:p w14:paraId="16F25865"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r w:rsidRPr="007B5C1C">
        <w:rPr>
          <w:rFonts w:ascii="Arial" w:eastAsia="Times New Roman" w:hAnsi="Arial" w:cs="Arial"/>
          <w:noProof/>
          <w:color w:val="000000"/>
          <w:sz w:val="21"/>
          <w:szCs w:val="21"/>
        </w:rPr>
        <w:lastRenderedPageBreak/>
        <w:drawing>
          <wp:inline distT="0" distB="0" distL="0" distR="0" wp14:anchorId="3FF65335" wp14:editId="67E2EB33">
            <wp:extent cx="6143625" cy="7839075"/>
            <wp:effectExtent l="0" t="0" r="9525" b="9525"/>
            <wp:docPr id="9" name="Picture 9" descr="Tabl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abl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3625" cy="7839075"/>
                    </a:xfrm>
                    <a:prstGeom prst="rect">
                      <a:avLst/>
                    </a:prstGeom>
                    <a:noFill/>
                    <a:ln>
                      <a:noFill/>
                    </a:ln>
                  </pic:spPr>
                </pic:pic>
              </a:graphicData>
            </a:graphic>
          </wp:inline>
        </w:drawing>
      </w:r>
    </w:p>
    <w:p w14:paraId="6A35D522"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hyperlink r:id="rId20" w:history="1">
        <w:r w:rsidRPr="007B5C1C">
          <w:rPr>
            <w:rFonts w:ascii="Arial" w:eastAsia="Times New Roman" w:hAnsi="Arial" w:cs="Arial"/>
            <w:color w:val="0000FF"/>
            <w:sz w:val="21"/>
            <w:szCs w:val="21"/>
            <w:u w:val="single"/>
          </w:rPr>
          <w:t>View Chart Data</w:t>
        </w:r>
      </w:hyperlink>
    </w:p>
    <w:p w14:paraId="2E3E6D44"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lastRenderedPageBreak/>
        <w:t>About 40 percent of all openings projected in the bachelor’s-level group are in the occupations shown in table 4. </w:t>
      </w:r>
      <w:hyperlink r:id="rId21" w:tgtFrame="_blank" w:history="1">
        <w:r w:rsidRPr="007B5C1C">
          <w:rPr>
            <w:rFonts w:ascii="Tahoma" w:eastAsia="Times New Roman" w:hAnsi="Tahoma" w:cs="Tahoma"/>
            <w:color w:val="003399"/>
            <w:sz w:val="20"/>
            <w:szCs w:val="20"/>
            <w:u w:val="single"/>
          </w:rPr>
          <w:t>General and operations managers</w:t>
        </w:r>
      </w:hyperlink>
      <w:r w:rsidRPr="007B5C1C">
        <w:rPr>
          <w:rFonts w:ascii="Tahoma" w:eastAsia="Times New Roman" w:hAnsi="Tahoma" w:cs="Tahoma"/>
          <w:color w:val="333333"/>
          <w:sz w:val="20"/>
          <w:szCs w:val="20"/>
        </w:rPr>
        <w:t> is projected to have the most openings (204,400) annually, on average, of any occupation that typically requires a bachelor’s degree for entry. This large occupation employs workers across many industries; specific entry requirements and prospects vary.</w:t>
      </w:r>
    </w:p>
    <w:p w14:paraId="2BF2A378"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 xml:space="preserve">Each of the occupations in table 4 had wages that were higher than the median for all occupations. </w:t>
      </w:r>
      <w:proofErr w:type="gramStart"/>
      <w:r w:rsidRPr="007B5C1C">
        <w:rPr>
          <w:rFonts w:ascii="Tahoma" w:eastAsia="Times New Roman" w:hAnsi="Tahoma" w:cs="Tahoma"/>
          <w:color w:val="333333"/>
          <w:sz w:val="20"/>
          <w:szCs w:val="20"/>
        </w:rPr>
        <w:t>That’s</w:t>
      </w:r>
      <w:proofErr w:type="gramEnd"/>
      <w:r w:rsidRPr="007B5C1C">
        <w:rPr>
          <w:rFonts w:ascii="Tahoma" w:eastAsia="Times New Roman" w:hAnsi="Tahoma" w:cs="Tahoma"/>
          <w:color w:val="333333"/>
          <w:sz w:val="20"/>
          <w:szCs w:val="20"/>
        </w:rPr>
        <w:t xml:space="preserve"> not surprising, given that nearly every occupation at this education level had higher-than-median wages. A few of the occupations in the table typically require work experience in a related occupation in addition to a bachelor’s degree, but none typically requires on-the-job training for workers to attain competency.</w:t>
      </w:r>
    </w:p>
    <w:p w14:paraId="1675FD4D" w14:textId="77777777" w:rsidR="007B5C1C" w:rsidRPr="007B5C1C" w:rsidRDefault="007B5C1C" w:rsidP="007B5C1C">
      <w:pPr>
        <w:pBdr>
          <w:bottom w:val="single" w:sz="6" w:space="0" w:color="CCCCCC"/>
        </w:pBdr>
        <w:shd w:val="clear" w:color="auto" w:fill="FFFFFF"/>
        <w:spacing w:after="0" w:line="293" w:lineRule="atLeast"/>
        <w:outlineLvl w:val="2"/>
        <w:rPr>
          <w:rFonts w:ascii="Arial" w:eastAsia="Times New Roman" w:hAnsi="Arial" w:cs="Arial"/>
          <w:b/>
          <w:bCs/>
          <w:color w:val="183061"/>
          <w:sz w:val="36"/>
          <w:szCs w:val="36"/>
        </w:rPr>
      </w:pPr>
      <w:r w:rsidRPr="007B5C1C">
        <w:rPr>
          <w:rFonts w:ascii="Arial" w:eastAsia="Times New Roman" w:hAnsi="Arial" w:cs="Arial"/>
          <w:b/>
          <w:bCs/>
          <w:color w:val="183061"/>
          <w:sz w:val="36"/>
          <w:szCs w:val="36"/>
        </w:rPr>
        <w:t>Master's, doctoral, and professional degrees</w:t>
      </w:r>
    </w:p>
    <w:p w14:paraId="47832A1F" w14:textId="77777777" w:rsidR="007B5C1C" w:rsidRPr="007B5C1C" w:rsidRDefault="007B5C1C" w:rsidP="007B5C1C">
      <w:pPr>
        <w:shd w:val="clear" w:color="auto" w:fill="FFFFFF"/>
        <w:spacing w:after="24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In 36 occupations, a master’s degree is typically required for entry; 63 occupations typically require a doctoral or professional degree. Table 5 shows the 10 occupations at these education levels that are projected to have the most openings annually, on average, from 2019 to 2029.</w:t>
      </w:r>
    </w:p>
    <w:p w14:paraId="0DF3B51E"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r w:rsidRPr="007B5C1C">
        <w:rPr>
          <w:rFonts w:ascii="Arial" w:eastAsia="Times New Roman" w:hAnsi="Arial" w:cs="Arial"/>
          <w:noProof/>
          <w:color w:val="000000"/>
          <w:sz w:val="21"/>
          <w:szCs w:val="21"/>
        </w:rPr>
        <w:lastRenderedPageBreak/>
        <w:drawing>
          <wp:inline distT="0" distB="0" distL="0" distR="0" wp14:anchorId="0765E04B" wp14:editId="6A5A4BC6">
            <wp:extent cx="6181725" cy="8620125"/>
            <wp:effectExtent l="0" t="0" r="9525" b="9525"/>
            <wp:docPr id="10" name="Picture 10" descr="Tabl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abl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1725" cy="8620125"/>
                    </a:xfrm>
                    <a:prstGeom prst="rect">
                      <a:avLst/>
                    </a:prstGeom>
                    <a:noFill/>
                    <a:ln>
                      <a:noFill/>
                    </a:ln>
                  </pic:spPr>
                </pic:pic>
              </a:graphicData>
            </a:graphic>
          </wp:inline>
        </w:drawing>
      </w:r>
    </w:p>
    <w:p w14:paraId="5977E8CF" w14:textId="77777777" w:rsidR="007B5C1C" w:rsidRPr="007B5C1C" w:rsidRDefault="007B5C1C" w:rsidP="007B5C1C">
      <w:pPr>
        <w:shd w:val="clear" w:color="auto" w:fill="FFFFFF"/>
        <w:spacing w:after="0" w:line="293" w:lineRule="atLeast"/>
        <w:jc w:val="center"/>
        <w:rPr>
          <w:rFonts w:ascii="Arial" w:eastAsia="Times New Roman" w:hAnsi="Arial" w:cs="Arial"/>
          <w:color w:val="000000"/>
          <w:sz w:val="21"/>
          <w:szCs w:val="21"/>
        </w:rPr>
      </w:pPr>
      <w:hyperlink r:id="rId23" w:history="1">
        <w:r w:rsidRPr="007B5C1C">
          <w:rPr>
            <w:rFonts w:ascii="Arial" w:eastAsia="Times New Roman" w:hAnsi="Arial" w:cs="Arial"/>
            <w:color w:val="0000FF"/>
            <w:sz w:val="21"/>
            <w:szCs w:val="21"/>
            <w:u w:val="single"/>
          </w:rPr>
          <w:t>View Chart Data</w:t>
        </w:r>
      </w:hyperlink>
    </w:p>
    <w:p w14:paraId="682B2DC8"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The occupational openings in table 5 account for about 46 percent of all openings projected in master’s, doctoral, and professional degree-level occupations. With 39,900 openings each year, on average, from 2019 to 2029, </w:t>
      </w:r>
      <w:hyperlink r:id="rId24" w:tgtFrame="_blank" w:history="1">
        <w:r w:rsidRPr="007B5C1C">
          <w:rPr>
            <w:rFonts w:ascii="Tahoma" w:eastAsia="Times New Roman" w:hAnsi="Tahoma" w:cs="Tahoma"/>
            <w:color w:val="003399"/>
            <w:sz w:val="20"/>
            <w:szCs w:val="20"/>
            <w:u w:val="single"/>
          </w:rPr>
          <w:t>lawyers</w:t>
        </w:r>
      </w:hyperlink>
      <w:r w:rsidRPr="007B5C1C">
        <w:rPr>
          <w:rFonts w:ascii="Tahoma" w:eastAsia="Times New Roman" w:hAnsi="Tahoma" w:cs="Tahoma"/>
          <w:color w:val="333333"/>
          <w:sz w:val="20"/>
          <w:szCs w:val="20"/>
        </w:rPr>
        <w:t> is projected to have more openings than any other occupation at these levels of education. Most of those openings are expected to be from the need to replace workers who leave the occupation.</w:t>
      </w:r>
    </w:p>
    <w:p w14:paraId="5B8830AA"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Wages for each of the occupations in table 5 were higher than the median for all occupations. In fact, of the 99 occupations at these education levels, only </w:t>
      </w:r>
      <w:hyperlink r:id="rId25" w:tgtFrame="_blank" w:history="1">
        <w:r w:rsidRPr="007B5C1C">
          <w:rPr>
            <w:rFonts w:ascii="Tahoma" w:eastAsia="Times New Roman" w:hAnsi="Tahoma" w:cs="Tahoma"/>
            <w:color w:val="003399"/>
            <w:sz w:val="20"/>
            <w:szCs w:val="20"/>
            <w:u w:val="single"/>
          </w:rPr>
          <w:t>rehabilitation counselors</w:t>
        </w:r>
      </w:hyperlink>
      <w:r w:rsidRPr="007B5C1C">
        <w:rPr>
          <w:rFonts w:ascii="Tahoma" w:eastAsia="Times New Roman" w:hAnsi="Tahoma" w:cs="Tahoma"/>
          <w:color w:val="333333"/>
          <w:sz w:val="20"/>
          <w:szCs w:val="20"/>
        </w:rPr>
        <w:t> ($35,950)—not shown in the table—had a wage below the median. High wages are more common in occupations that typically require many years of school and experience or training, as the ones in table 5 do, than in occupations that have few requirements.</w:t>
      </w:r>
    </w:p>
    <w:p w14:paraId="12BFCFE3" w14:textId="77777777" w:rsidR="007B5C1C" w:rsidRPr="007B5C1C" w:rsidRDefault="007B5C1C" w:rsidP="007B5C1C">
      <w:pPr>
        <w:pBdr>
          <w:bottom w:val="single" w:sz="6" w:space="0" w:color="CCCCCC"/>
        </w:pBdr>
        <w:shd w:val="clear" w:color="auto" w:fill="FFFFFF"/>
        <w:spacing w:after="0" w:line="293" w:lineRule="atLeast"/>
        <w:outlineLvl w:val="2"/>
        <w:rPr>
          <w:rFonts w:ascii="Arial" w:eastAsia="Times New Roman" w:hAnsi="Arial" w:cs="Arial"/>
          <w:b/>
          <w:bCs/>
          <w:color w:val="183061"/>
          <w:sz w:val="36"/>
          <w:szCs w:val="36"/>
        </w:rPr>
      </w:pPr>
      <w:r w:rsidRPr="007B5C1C">
        <w:rPr>
          <w:rFonts w:ascii="Arial" w:eastAsia="Times New Roman" w:hAnsi="Arial" w:cs="Arial"/>
          <w:b/>
          <w:bCs/>
          <w:color w:val="183061"/>
          <w:sz w:val="36"/>
          <w:szCs w:val="36"/>
        </w:rPr>
        <w:t>For more information</w:t>
      </w:r>
    </w:p>
    <w:p w14:paraId="6397010B"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Learn more about the occupations in this article and hundreds of others in the </w:t>
      </w:r>
      <w:hyperlink r:id="rId26" w:tgtFrame="_blank" w:history="1">
        <w:r w:rsidRPr="007B5C1C">
          <w:rPr>
            <w:rFonts w:ascii="Tahoma" w:eastAsia="Times New Roman" w:hAnsi="Tahoma" w:cs="Tahoma"/>
            <w:color w:val="003399"/>
            <w:sz w:val="20"/>
            <w:szCs w:val="20"/>
            <w:u w:val="single"/>
          </w:rPr>
          <w:t>Occupational Outlook Handbook</w:t>
        </w:r>
      </w:hyperlink>
      <w:r w:rsidRPr="007B5C1C">
        <w:rPr>
          <w:rFonts w:ascii="Tahoma" w:eastAsia="Times New Roman" w:hAnsi="Tahoma" w:cs="Tahoma"/>
          <w:color w:val="333333"/>
          <w:sz w:val="20"/>
          <w:szCs w:val="20"/>
        </w:rPr>
        <w:t> (OOH). The OOH has lots of detail, including what workers do and their pay, job outlook, and typical education requirements.</w:t>
      </w:r>
    </w:p>
    <w:p w14:paraId="330FEB13" w14:textId="77777777" w:rsidR="007B5C1C" w:rsidRPr="007B5C1C" w:rsidRDefault="007B5C1C" w:rsidP="007B5C1C">
      <w:pPr>
        <w:shd w:val="clear" w:color="auto" w:fill="FFFFFF"/>
        <w:spacing w:after="0" w:line="384" w:lineRule="atLeast"/>
        <w:rPr>
          <w:rFonts w:ascii="Tahoma" w:eastAsia="Times New Roman" w:hAnsi="Tahoma" w:cs="Tahoma"/>
          <w:color w:val="333333"/>
          <w:sz w:val="20"/>
          <w:szCs w:val="20"/>
        </w:rPr>
      </w:pPr>
      <w:r w:rsidRPr="007B5C1C">
        <w:rPr>
          <w:rFonts w:ascii="Tahoma" w:eastAsia="Times New Roman" w:hAnsi="Tahoma" w:cs="Tahoma"/>
          <w:color w:val="333333"/>
          <w:sz w:val="20"/>
          <w:szCs w:val="20"/>
        </w:rPr>
        <w:t>The BLS Employment Projections program has additional information on </w:t>
      </w:r>
      <w:hyperlink r:id="rId27" w:tgtFrame="_blank" w:history="1">
        <w:r w:rsidRPr="007B5C1C">
          <w:rPr>
            <w:rFonts w:ascii="Tahoma" w:eastAsia="Times New Roman" w:hAnsi="Tahoma" w:cs="Tahoma"/>
            <w:color w:val="003399"/>
            <w:sz w:val="20"/>
            <w:szCs w:val="20"/>
            <w:u w:val="single"/>
          </w:rPr>
          <w:t>education and training</w:t>
        </w:r>
      </w:hyperlink>
      <w:r w:rsidRPr="007B5C1C">
        <w:rPr>
          <w:rFonts w:ascii="Tahoma" w:eastAsia="Times New Roman" w:hAnsi="Tahoma" w:cs="Tahoma"/>
          <w:color w:val="333333"/>
          <w:sz w:val="20"/>
          <w:szCs w:val="20"/>
        </w:rPr>
        <w:t>, as well as </w:t>
      </w:r>
      <w:hyperlink r:id="rId28" w:tgtFrame="_blank" w:history="1">
        <w:r w:rsidRPr="007B5C1C">
          <w:rPr>
            <w:rFonts w:ascii="Tahoma" w:eastAsia="Times New Roman" w:hAnsi="Tahoma" w:cs="Tahoma"/>
            <w:color w:val="003399"/>
            <w:sz w:val="20"/>
            <w:szCs w:val="20"/>
            <w:u w:val="single"/>
          </w:rPr>
          <w:t>occupational openings</w:t>
        </w:r>
      </w:hyperlink>
      <w:r w:rsidRPr="007B5C1C">
        <w:rPr>
          <w:rFonts w:ascii="Tahoma" w:eastAsia="Times New Roman" w:hAnsi="Tahoma" w:cs="Tahoma"/>
          <w:color w:val="333333"/>
          <w:sz w:val="20"/>
          <w:szCs w:val="20"/>
        </w:rPr>
        <w:t>. For example, </w:t>
      </w:r>
      <w:hyperlink r:id="rId29" w:tgtFrame="_blank" w:history="1">
        <w:r w:rsidRPr="007B5C1C">
          <w:rPr>
            <w:rFonts w:ascii="Tahoma" w:eastAsia="Times New Roman" w:hAnsi="Tahoma" w:cs="Tahoma"/>
            <w:color w:val="003399"/>
            <w:sz w:val="20"/>
            <w:szCs w:val="20"/>
            <w:u w:val="single"/>
          </w:rPr>
          <w:t>Table 5.4</w:t>
        </w:r>
      </w:hyperlink>
      <w:r w:rsidRPr="007B5C1C">
        <w:rPr>
          <w:rFonts w:ascii="Tahoma" w:eastAsia="Times New Roman" w:hAnsi="Tahoma" w:cs="Tahoma"/>
          <w:color w:val="333333"/>
          <w:sz w:val="20"/>
          <w:szCs w:val="20"/>
        </w:rPr>
        <w:t> shows the typical entry-level education and training assignments for all occupations, according to BLS, and </w:t>
      </w:r>
      <w:hyperlink r:id="rId30" w:tgtFrame="_blank" w:history="1">
        <w:r w:rsidRPr="007B5C1C">
          <w:rPr>
            <w:rFonts w:ascii="Tahoma" w:eastAsia="Times New Roman" w:hAnsi="Tahoma" w:cs="Tahoma"/>
            <w:color w:val="003399"/>
            <w:sz w:val="20"/>
            <w:szCs w:val="20"/>
            <w:u w:val="single"/>
          </w:rPr>
          <w:t>Table 5.3</w:t>
        </w:r>
      </w:hyperlink>
      <w:r w:rsidRPr="007B5C1C">
        <w:rPr>
          <w:rFonts w:ascii="Tahoma" w:eastAsia="Times New Roman" w:hAnsi="Tahoma" w:cs="Tahoma"/>
          <w:color w:val="333333"/>
          <w:sz w:val="20"/>
          <w:szCs w:val="20"/>
        </w:rPr>
        <w:t> shows workers’ educational attainment within occupations based on data from the </w:t>
      </w:r>
      <w:hyperlink r:id="rId31" w:tgtFrame="_blank" w:history="1">
        <w:r w:rsidRPr="007B5C1C">
          <w:rPr>
            <w:rFonts w:ascii="Tahoma" w:eastAsia="Times New Roman" w:hAnsi="Tahoma" w:cs="Tahoma"/>
            <w:color w:val="003399"/>
            <w:sz w:val="20"/>
            <w:szCs w:val="20"/>
            <w:u w:val="single"/>
          </w:rPr>
          <w:t>American Community Survey</w:t>
        </w:r>
      </w:hyperlink>
      <w:r w:rsidRPr="007B5C1C">
        <w:rPr>
          <w:rFonts w:ascii="Tahoma" w:eastAsia="Times New Roman" w:hAnsi="Tahoma" w:cs="Tahoma"/>
          <w:color w:val="333333"/>
          <w:sz w:val="20"/>
          <w:szCs w:val="20"/>
        </w:rPr>
        <w:t>.</w:t>
      </w:r>
    </w:p>
    <w:p w14:paraId="04B9F6D9" w14:textId="77777777" w:rsidR="007B5C1C" w:rsidRPr="007B5C1C" w:rsidRDefault="007B5C1C" w:rsidP="007B5C1C">
      <w:pPr>
        <w:shd w:val="clear" w:color="auto" w:fill="FFFFFF"/>
        <w:spacing w:line="384" w:lineRule="atLeast"/>
        <w:rPr>
          <w:rFonts w:ascii="Arial" w:eastAsia="Times New Roman" w:hAnsi="Arial" w:cs="Arial"/>
          <w:i/>
          <w:iCs/>
          <w:color w:val="666666"/>
          <w:sz w:val="20"/>
          <w:szCs w:val="20"/>
        </w:rPr>
      </w:pPr>
      <w:proofErr w:type="spellStart"/>
      <w:r w:rsidRPr="007B5C1C">
        <w:rPr>
          <w:rFonts w:ascii="Arial" w:eastAsia="Times New Roman" w:hAnsi="Arial" w:cs="Arial"/>
          <w:i/>
          <w:iCs/>
          <w:color w:val="666666"/>
          <w:sz w:val="20"/>
          <w:szCs w:val="20"/>
        </w:rPr>
        <w:t>Elka</w:t>
      </w:r>
      <w:proofErr w:type="spellEnd"/>
      <w:r w:rsidRPr="007B5C1C">
        <w:rPr>
          <w:rFonts w:ascii="Arial" w:eastAsia="Times New Roman" w:hAnsi="Arial" w:cs="Arial"/>
          <w:i/>
          <w:iCs/>
          <w:color w:val="666666"/>
          <w:sz w:val="20"/>
          <w:szCs w:val="20"/>
        </w:rPr>
        <w:t xml:space="preserve"> </w:t>
      </w:r>
      <w:proofErr w:type="spellStart"/>
      <w:r w:rsidRPr="007B5C1C">
        <w:rPr>
          <w:rFonts w:ascii="Arial" w:eastAsia="Times New Roman" w:hAnsi="Arial" w:cs="Arial"/>
          <w:i/>
          <w:iCs/>
          <w:color w:val="666666"/>
          <w:sz w:val="20"/>
          <w:szCs w:val="20"/>
        </w:rPr>
        <w:t>Torpey</w:t>
      </w:r>
      <w:proofErr w:type="spellEnd"/>
      <w:r w:rsidRPr="007B5C1C">
        <w:rPr>
          <w:rFonts w:ascii="Arial" w:eastAsia="Times New Roman" w:hAnsi="Arial" w:cs="Arial"/>
          <w:i/>
          <w:iCs/>
          <w:color w:val="666666"/>
          <w:sz w:val="20"/>
          <w:szCs w:val="20"/>
        </w:rPr>
        <w:t xml:space="preserve"> is an economist in the Office of Occupational Statistics and Employment Projections, BLS. She can be reached at </w:t>
      </w:r>
      <w:hyperlink r:id="rId32" w:history="1">
        <w:r w:rsidRPr="007B5C1C">
          <w:rPr>
            <w:rFonts w:ascii="Arial" w:eastAsia="Times New Roman" w:hAnsi="Arial" w:cs="Arial"/>
            <w:i/>
            <w:iCs/>
            <w:color w:val="003399"/>
            <w:sz w:val="20"/>
            <w:szCs w:val="20"/>
            <w:u w:val="single"/>
          </w:rPr>
          <w:t>torpey.elka@bls.gov</w:t>
        </w:r>
      </w:hyperlink>
      <w:r w:rsidRPr="007B5C1C">
        <w:rPr>
          <w:rFonts w:ascii="Arial" w:eastAsia="Times New Roman" w:hAnsi="Arial" w:cs="Arial"/>
          <w:i/>
          <w:iCs/>
          <w:color w:val="666666"/>
          <w:sz w:val="20"/>
          <w:szCs w:val="20"/>
        </w:rPr>
        <w:t>.</w:t>
      </w:r>
    </w:p>
    <w:p w14:paraId="66362730" w14:textId="77777777" w:rsidR="007B5C1C" w:rsidRDefault="007B5C1C"/>
    <w:sectPr w:rsidR="007B5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180300"/>
    <w:multiLevelType w:val="multilevel"/>
    <w:tmpl w:val="A948D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C1C"/>
    <w:rsid w:val="007B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A18C0"/>
  <w15:chartTrackingRefBased/>
  <w15:docId w15:val="{43E2C408-1942-422E-B3EB-FF4E96011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4646121">
      <w:bodyDiv w:val="1"/>
      <w:marLeft w:val="0"/>
      <w:marRight w:val="0"/>
      <w:marTop w:val="0"/>
      <w:marBottom w:val="0"/>
      <w:divBdr>
        <w:top w:val="none" w:sz="0" w:space="0" w:color="auto"/>
        <w:left w:val="none" w:sz="0" w:space="0" w:color="auto"/>
        <w:bottom w:val="none" w:sz="0" w:space="0" w:color="auto"/>
        <w:right w:val="none" w:sz="0" w:space="0" w:color="auto"/>
      </w:divBdr>
      <w:divsChild>
        <w:div w:id="993144749">
          <w:marLeft w:val="0"/>
          <w:marRight w:val="0"/>
          <w:marTop w:val="0"/>
          <w:marBottom w:val="0"/>
          <w:divBdr>
            <w:top w:val="none" w:sz="0" w:space="0" w:color="auto"/>
            <w:left w:val="none" w:sz="0" w:space="0" w:color="auto"/>
            <w:bottom w:val="none" w:sz="0" w:space="0" w:color="auto"/>
            <w:right w:val="none" w:sz="0" w:space="0" w:color="auto"/>
          </w:divBdr>
        </w:div>
        <w:div w:id="267743043">
          <w:marLeft w:val="0"/>
          <w:marRight w:val="0"/>
          <w:marTop w:val="0"/>
          <w:marBottom w:val="0"/>
          <w:divBdr>
            <w:top w:val="none" w:sz="0" w:space="0" w:color="auto"/>
            <w:left w:val="none" w:sz="0" w:space="0" w:color="auto"/>
            <w:bottom w:val="none" w:sz="0" w:space="0" w:color="auto"/>
            <w:right w:val="none" w:sz="0" w:space="0" w:color="auto"/>
          </w:divBdr>
        </w:div>
        <w:div w:id="420489616">
          <w:marLeft w:val="0"/>
          <w:marRight w:val="0"/>
          <w:marTop w:val="0"/>
          <w:marBottom w:val="0"/>
          <w:divBdr>
            <w:top w:val="none" w:sz="0" w:space="0" w:color="auto"/>
            <w:left w:val="none" w:sz="0" w:space="0" w:color="auto"/>
            <w:bottom w:val="none" w:sz="0" w:space="0" w:color="auto"/>
            <w:right w:val="none" w:sz="0" w:space="0" w:color="auto"/>
          </w:divBdr>
        </w:div>
        <w:div w:id="262340684">
          <w:marLeft w:val="0"/>
          <w:marRight w:val="0"/>
          <w:marTop w:val="0"/>
          <w:marBottom w:val="0"/>
          <w:divBdr>
            <w:top w:val="none" w:sz="0" w:space="0" w:color="auto"/>
            <w:left w:val="none" w:sz="0" w:space="0" w:color="auto"/>
            <w:bottom w:val="none" w:sz="0" w:space="0" w:color="auto"/>
            <w:right w:val="none" w:sz="0" w:space="0" w:color="auto"/>
          </w:divBdr>
        </w:div>
        <w:div w:id="2102950554">
          <w:marLeft w:val="0"/>
          <w:marRight w:val="0"/>
          <w:marTop w:val="0"/>
          <w:marBottom w:val="0"/>
          <w:divBdr>
            <w:top w:val="none" w:sz="0" w:space="0" w:color="auto"/>
            <w:left w:val="none" w:sz="0" w:space="0" w:color="auto"/>
            <w:bottom w:val="none" w:sz="0" w:space="0" w:color="auto"/>
            <w:right w:val="none" w:sz="0" w:space="0" w:color="auto"/>
          </w:divBdr>
        </w:div>
        <w:div w:id="2146583411">
          <w:marLeft w:val="0"/>
          <w:marRight w:val="0"/>
          <w:marTop w:val="450"/>
          <w:marBottom w:val="300"/>
          <w:divBdr>
            <w:top w:val="single" w:sz="6" w:space="8" w:color="CCCCCC"/>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s.gov/careeroutlook/2020/article/education-level-and-openings.htm" TargetMode="External"/><Relationship Id="rId13" Type="http://schemas.openxmlformats.org/officeDocument/2006/relationships/image" Target="media/image2.png"/><Relationship Id="rId18" Type="http://schemas.openxmlformats.org/officeDocument/2006/relationships/hyperlink" Target="https://www.bls.gov/ooh/transportation-and-material-moving/heavy-and-tractor-trailer-truck-drivers.htm" TargetMode="External"/><Relationship Id="rId26" Type="http://schemas.openxmlformats.org/officeDocument/2006/relationships/hyperlink" Target="https://www.bls.gov/ooh" TargetMode="External"/><Relationship Id="rId3" Type="http://schemas.openxmlformats.org/officeDocument/2006/relationships/settings" Target="settings.xml"/><Relationship Id="rId21" Type="http://schemas.openxmlformats.org/officeDocument/2006/relationships/hyperlink" Target="https://www.bls.gov/ooh/management/top-executives.htm" TargetMode="External"/><Relationship Id="rId34" Type="http://schemas.openxmlformats.org/officeDocument/2006/relationships/theme" Target="theme/theme1.xml"/><Relationship Id="rId7" Type="http://schemas.openxmlformats.org/officeDocument/2006/relationships/hyperlink" Target="https://www.bls.gov/careeroutlook/2020/article/education-level-and-openings.htm" TargetMode="External"/><Relationship Id="rId12" Type="http://schemas.openxmlformats.org/officeDocument/2006/relationships/hyperlink" Target="https://www.bls.gov/ooh/food-preparation-and-serving/food-and-beverage-serving-and-related-workers.htm" TargetMode="External"/><Relationship Id="rId17" Type="http://schemas.openxmlformats.org/officeDocument/2006/relationships/hyperlink" Target="javascript:void(0);" TargetMode="External"/><Relationship Id="rId25" Type="http://schemas.openxmlformats.org/officeDocument/2006/relationships/hyperlink" Target="https://www.bls.gov/ooh/community-and-social-service/rehabilitation-counselors.ht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javascript:void(0);" TargetMode="External"/><Relationship Id="rId29" Type="http://schemas.openxmlformats.org/officeDocument/2006/relationships/hyperlink" Target="https://www.bls.gov/emp/tables/education-and-training-by-occupation.htm" TargetMode="External"/><Relationship Id="rId1" Type="http://schemas.openxmlformats.org/officeDocument/2006/relationships/numbering" Target="numbering.xml"/><Relationship Id="rId6" Type="http://schemas.openxmlformats.org/officeDocument/2006/relationships/hyperlink" Target="https://www.bls.gov/careeroutlook/2020/article/education-level-and-openings.htm" TargetMode="External"/><Relationship Id="rId11" Type="http://schemas.openxmlformats.org/officeDocument/2006/relationships/hyperlink" Target="javascript:void(0);" TargetMode="External"/><Relationship Id="rId24" Type="http://schemas.openxmlformats.org/officeDocument/2006/relationships/hyperlink" Target="https://www.bls.gov/ooh/legal/lawyers.htm" TargetMode="External"/><Relationship Id="rId32" Type="http://schemas.openxmlformats.org/officeDocument/2006/relationships/hyperlink" Target="mailto:torpey.elka@bls.gov" TargetMode="External"/><Relationship Id="rId5" Type="http://schemas.openxmlformats.org/officeDocument/2006/relationships/hyperlink" Target="https://www.bls.gov/careeroutlook/2020/article/education-level-and-openings.htm" TargetMode="External"/><Relationship Id="rId15" Type="http://schemas.openxmlformats.org/officeDocument/2006/relationships/hyperlink" Target="https://www.bls.gov/ooh/healthcare/home-health-aides-and-personal-care-aides.htm" TargetMode="External"/><Relationship Id="rId23" Type="http://schemas.openxmlformats.org/officeDocument/2006/relationships/hyperlink" Target="javascript:void(0);" TargetMode="External"/><Relationship Id="rId28" Type="http://schemas.openxmlformats.org/officeDocument/2006/relationships/hyperlink" Target="https://www.bls.gov/emp/documentation/separations.htm" TargetMode="Externa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yperlink" Target="https://www.census.gov/programs-surveys/acs" TargetMode="External"/><Relationship Id="rId4" Type="http://schemas.openxmlformats.org/officeDocument/2006/relationships/webSettings" Target="webSettings.xml"/><Relationship Id="rId9" Type="http://schemas.openxmlformats.org/officeDocument/2006/relationships/hyperlink" Target="https://www.bls.gov/careeroutlook/2020/article/education-level-and-openings.htm" TargetMode="External"/><Relationship Id="rId14" Type="http://schemas.openxmlformats.org/officeDocument/2006/relationships/hyperlink" Target="javascript:void(0);" TargetMode="External"/><Relationship Id="rId22" Type="http://schemas.openxmlformats.org/officeDocument/2006/relationships/image" Target="media/image5.png"/><Relationship Id="rId27" Type="http://schemas.openxmlformats.org/officeDocument/2006/relationships/hyperlink" Target="https://www.bls.gov/emp/documentation/education-training-system.htm" TargetMode="External"/><Relationship Id="rId30" Type="http://schemas.openxmlformats.org/officeDocument/2006/relationships/hyperlink" Target="https://www.bls.gov/emp/tables/educational-attainmen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1511</Words>
  <Characters>8613</Characters>
  <Application>Microsoft Office Word</Application>
  <DocSecurity>0</DocSecurity>
  <Lines>71</Lines>
  <Paragraphs>20</Paragraphs>
  <ScaleCrop>false</ScaleCrop>
  <Company/>
  <LinksUpToDate>false</LinksUpToDate>
  <CharactersWithSpaces>10104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c:creator>
  <cp:keywords/>
  <dc:description/>
  <cp:lastModifiedBy>Linda</cp:lastModifiedBy>
  <cp:revision>1</cp:revision>
  <dcterms:created xsi:type="dcterms:W3CDTF">2021-03-05T12:58:00Z</dcterms:created>
  <dcterms:modified xsi:type="dcterms:W3CDTF">2021-03-05T12:59:00Z</dcterms:modified>
</cp:coreProperties>
</file>