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2BF" w:rsidRPr="006715A9" w:rsidRDefault="00A942BF" w:rsidP="00FA519F">
      <w:pPr>
        <w:pStyle w:val="Heading1"/>
        <w:rPr>
          <w:rFonts w:ascii="Arial" w:hAnsi="Arial" w:cs="Arial"/>
        </w:rPr>
      </w:pPr>
      <w:bookmarkStart w:id="0" w:name="_GoBack"/>
      <w:r w:rsidRPr="006715A9">
        <w:rPr>
          <w:rFonts w:ascii="Arial" w:hAnsi="Arial" w:cs="Arial"/>
        </w:rPr>
        <w:t>Questions and Answers on Disability Discrimination under Section 504 and Title II</w:t>
      </w:r>
    </w:p>
    <w:p w:rsidR="00A942BF" w:rsidRPr="006715A9" w:rsidRDefault="008658CA" w:rsidP="008658CA">
      <w:pPr>
        <w:pStyle w:val="Heading2"/>
        <w:rPr>
          <w:rFonts w:ascii="Arial" w:hAnsi="Arial" w:cs="Arial"/>
          <w:color w:val="auto"/>
        </w:rPr>
      </w:pPr>
      <w:r w:rsidRPr="006715A9">
        <w:rPr>
          <w:rFonts w:ascii="Arial" w:hAnsi="Arial" w:cs="Arial"/>
          <w:color w:val="auto"/>
        </w:rPr>
        <w:t>Frequently Asked Questions About Disability - General</w:t>
      </w:r>
    </w:p>
    <w:p w:rsidR="00A942BF" w:rsidRPr="006715A9" w:rsidRDefault="00A942BF" w:rsidP="008658CA">
      <w:pPr>
        <w:pStyle w:val="Heading3"/>
        <w:rPr>
          <w:rFonts w:ascii="Arial" w:hAnsi="Arial" w:cs="Arial"/>
        </w:rPr>
      </w:pPr>
      <w:r w:rsidRPr="006715A9">
        <w:rPr>
          <w:rFonts w:ascii="Arial" w:hAnsi="Arial" w:cs="Arial"/>
        </w:rPr>
        <w:t xml:space="preserve">What </w:t>
      </w:r>
      <w:proofErr w:type="gramStart"/>
      <w:r w:rsidRPr="006715A9">
        <w:rPr>
          <w:rFonts w:ascii="Arial" w:hAnsi="Arial" w:cs="Arial"/>
        </w:rPr>
        <w:t>are</w:t>
      </w:r>
      <w:proofErr w:type="gramEnd"/>
      <w:r w:rsidRPr="006715A9">
        <w:rPr>
          <w:rFonts w:ascii="Arial" w:hAnsi="Arial" w:cs="Arial"/>
        </w:rPr>
        <w:t xml:space="preserve"> Section 504 and Title II?</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Section 504 is a federal law that prohibits any entity that receives federal financial assistance (such as grants or student loans) from discriminating against persons with disabilities.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Title II of the Americans with Disabilities Act is a federal law that prohibits state and local governments (such as public school districts, public colleges and universities, and public libraries) from discriminating against persons with disabilities.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In general, Section 504 and Title II nondiscrimination standards are the same, and in general, actions that violate Section 504 also violate Title II. However, where Title II requirements exceed Section 504 requirements, public school districts, colleges and universities, and libraries must also comply with the Title II requirements.</w:t>
      </w:r>
    </w:p>
    <w:p w:rsidR="00A942BF" w:rsidRPr="006715A9" w:rsidRDefault="00A942BF" w:rsidP="008658CA">
      <w:pPr>
        <w:pStyle w:val="Heading3"/>
        <w:rPr>
          <w:rFonts w:ascii="Arial" w:hAnsi="Arial" w:cs="Arial"/>
        </w:rPr>
      </w:pPr>
      <w:bookmarkStart w:id="1" w:name="disdisc2"/>
      <w:bookmarkEnd w:id="1"/>
      <w:r w:rsidRPr="006715A9">
        <w:rPr>
          <w:rFonts w:ascii="Arial" w:hAnsi="Arial" w:cs="Arial"/>
        </w:rPr>
        <w:t>What does "person with a disability" mean within the context of Section 504 and Title II?</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Person with a disability means a person with a physical or mental impairment that substantially limits a major life activity; has a record of such an impairment; or is regarded as having such an impairment. The determination of whether a student has a physical or mental impairment that substantially limits a major life activity (and therefore has a disability) must be made on a case by case basis. In addition, when determining if someone meets the definition of a disability, the definition must be viewed to provide broad coverage of individuals. For more information about the definition of disability, see </w:t>
      </w:r>
      <w:hyperlink r:id="rId4" w:history="1">
        <w:r w:rsidR="00FA519F" w:rsidRPr="006715A9">
          <w:rPr>
            <w:rStyle w:val="Hyperlink"/>
            <w:rFonts w:ascii="Arial" w:eastAsiaTheme="majorEastAsia" w:hAnsi="Arial" w:cs="Arial"/>
            <w:color w:val="7E5D8E"/>
          </w:rPr>
          <w:t>OCR Q &amp; A on the ADA Amendments Act of 2008 (PDF)</w:t>
        </w:r>
      </w:hyperlink>
      <w:r w:rsidRPr="006715A9">
        <w:rPr>
          <w:rFonts w:ascii="Arial" w:hAnsi="Arial" w:cs="Arial"/>
        </w:rPr>
        <w:t>.</w:t>
      </w:r>
    </w:p>
    <w:p w:rsidR="00A942BF" w:rsidRPr="006715A9" w:rsidRDefault="00A942BF" w:rsidP="008658CA">
      <w:pPr>
        <w:pStyle w:val="Heading3"/>
        <w:rPr>
          <w:rFonts w:ascii="Arial" w:hAnsi="Arial" w:cs="Arial"/>
        </w:rPr>
      </w:pPr>
      <w:bookmarkStart w:id="2" w:name="disdisc3"/>
      <w:bookmarkEnd w:id="2"/>
      <w:r w:rsidRPr="006715A9">
        <w:rPr>
          <w:rFonts w:ascii="Arial" w:hAnsi="Arial" w:cs="Arial"/>
        </w:rPr>
        <w:t>Are all school districts, colleges, and universities covered by Section 504 and Title II?</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Generally yes. All public school districts are covered by Section 504 and/or Title II – this includes public charter schools and magnet schools. All public colleges and universities are covered by Section 504 and Title II. Virtually all private colleges and universities are also covered by Section 504 because they receive federal financial assistance by participating in federal student aid programs. There are some private schools that do not receive any federal assistance, and Section 504 and Title II do not apply to them.</w:t>
      </w:r>
    </w:p>
    <w:p w:rsidR="00A942BF" w:rsidRPr="006715A9" w:rsidRDefault="00A942BF" w:rsidP="008658CA">
      <w:pPr>
        <w:pStyle w:val="Heading3"/>
        <w:rPr>
          <w:rFonts w:ascii="Arial" w:hAnsi="Arial" w:cs="Arial"/>
        </w:rPr>
      </w:pPr>
      <w:bookmarkStart w:id="3" w:name="disdisc4"/>
      <w:bookmarkEnd w:id="3"/>
      <w:r w:rsidRPr="006715A9">
        <w:rPr>
          <w:rFonts w:ascii="Arial" w:hAnsi="Arial" w:cs="Arial"/>
        </w:rPr>
        <w:t>Are all programs in a school, college, or university covered by Section 504 if any part of it receives federal financial assistance?</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 xml:space="preserve">Yes. All programs in a school or college are covered by Section 504 if the school district, college, or university receives federal financial assistance. Section 504 covers all the operations of a school or college that receives financial assistance including </w:t>
      </w:r>
      <w:r w:rsidRPr="006715A9">
        <w:rPr>
          <w:rFonts w:ascii="Arial" w:hAnsi="Arial" w:cs="Arial"/>
        </w:rPr>
        <w:lastRenderedPageBreak/>
        <w:t>academics, extracurricular activities, athletics, and other programs. Section 504 applies to actions of a school or college regardless of where they occur, including those that take place in the facilities of the school, on a school bus, at a class or training program sponsored by the school at another location, or elsewhere off campus.</w:t>
      </w:r>
    </w:p>
    <w:p w:rsidR="00A942BF" w:rsidRPr="006715A9" w:rsidRDefault="00A942BF" w:rsidP="008658CA">
      <w:pPr>
        <w:pStyle w:val="Heading3"/>
        <w:rPr>
          <w:rFonts w:ascii="Arial" w:hAnsi="Arial" w:cs="Arial"/>
        </w:rPr>
      </w:pPr>
      <w:bookmarkStart w:id="4" w:name="disdisc5"/>
      <w:bookmarkEnd w:id="4"/>
      <w:r w:rsidRPr="006715A9">
        <w:rPr>
          <w:rFonts w:ascii="Arial" w:hAnsi="Arial" w:cs="Arial"/>
        </w:rPr>
        <w:t>Do Section 504 and Title II protect only students?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No. Section 504 and Title II protect all persons with disabilities from discrimination, including parents and guardians, students, and employees.</w:t>
      </w:r>
    </w:p>
    <w:p w:rsidR="00A942BF" w:rsidRPr="006715A9" w:rsidRDefault="00A942BF" w:rsidP="008658CA">
      <w:pPr>
        <w:pStyle w:val="Heading3"/>
        <w:rPr>
          <w:rFonts w:ascii="Arial" w:hAnsi="Arial" w:cs="Arial"/>
        </w:rPr>
      </w:pPr>
      <w:bookmarkStart w:id="5" w:name="disdisc6"/>
      <w:bookmarkEnd w:id="5"/>
      <w:r w:rsidRPr="006715A9">
        <w:rPr>
          <w:rFonts w:ascii="Arial" w:hAnsi="Arial" w:cs="Arial"/>
        </w:rPr>
        <w:t>What types of Section 504 and Title II cases does OCR handle?</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OCR handles cases of disability discrimination involving a range of issues, such as inaccessible facilities; unequal access to </w:t>
      </w:r>
      <w:hyperlink r:id="rId5" w:history="1">
        <w:r w:rsidRPr="006715A9">
          <w:rPr>
            <w:rStyle w:val="Hyperlink"/>
            <w:rFonts w:ascii="Arial" w:eastAsiaTheme="majorEastAsia" w:hAnsi="Arial" w:cs="Arial"/>
            <w:color w:val="7E5D8E"/>
          </w:rPr>
          <w:t>advanced academic programs</w:t>
        </w:r>
      </w:hyperlink>
      <w:r w:rsidRPr="006715A9">
        <w:rPr>
          <w:rFonts w:ascii="Arial" w:hAnsi="Arial" w:cs="Arial"/>
        </w:rPr>
        <w:t>, </w:t>
      </w:r>
      <w:hyperlink r:id="rId6" w:history="1">
        <w:r w:rsidRPr="006715A9">
          <w:rPr>
            <w:rStyle w:val="Hyperlink"/>
            <w:rFonts w:ascii="Arial" w:eastAsiaTheme="majorEastAsia" w:hAnsi="Arial" w:cs="Arial"/>
            <w:color w:val="7E5D8E"/>
          </w:rPr>
          <w:t>extracurricular athletics</w:t>
        </w:r>
      </w:hyperlink>
      <w:r w:rsidRPr="006715A9">
        <w:rPr>
          <w:rFonts w:ascii="Arial" w:hAnsi="Arial" w:cs="Arial"/>
        </w:rPr>
        <w:t>, and </w:t>
      </w:r>
      <w:hyperlink r:id="rId7" w:history="1">
        <w:r w:rsidRPr="006715A9">
          <w:rPr>
            <w:rStyle w:val="Hyperlink"/>
            <w:rFonts w:ascii="Arial" w:eastAsiaTheme="majorEastAsia" w:hAnsi="Arial" w:cs="Arial"/>
            <w:color w:val="7E5D8E"/>
          </w:rPr>
          <w:t>accessible technology</w:t>
        </w:r>
      </w:hyperlink>
      <w:r w:rsidRPr="006715A9">
        <w:rPr>
          <w:rFonts w:ascii="Arial" w:hAnsi="Arial" w:cs="Arial"/>
        </w:rPr>
        <w:t>; the failure to provide elementary and secondary students a </w:t>
      </w:r>
      <w:hyperlink r:id="rId8" w:history="1">
        <w:r w:rsidRPr="006715A9">
          <w:rPr>
            <w:rStyle w:val="Hyperlink"/>
            <w:rFonts w:ascii="Arial" w:eastAsiaTheme="majorEastAsia" w:hAnsi="Arial" w:cs="Arial"/>
            <w:color w:val="7E5D8E"/>
          </w:rPr>
          <w:t>free appropriate public education (FAPE)</w:t>
        </w:r>
      </w:hyperlink>
      <w:r w:rsidRPr="006715A9">
        <w:rPr>
          <w:rFonts w:ascii="Arial" w:hAnsi="Arial" w:cs="Arial"/>
        </w:rPr>
        <w:t>, discriminatory discipline, </w:t>
      </w:r>
      <w:hyperlink r:id="rId9" w:history="1">
        <w:r w:rsidRPr="006715A9">
          <w:rPr>
            <w:rStyle w:val="Hyperlink"/>
            <w:rFonts w:ascii="Arial" w:eastAsiaTheme="majorEastAsia" w:hAnsi="Arial" w:cs="Arial"/>
            <w:color w:val="7E5D8E"/>
          </w:rPr>
          <w:t>the denial to college students of appropriate academic adjustments and auxiliary aids and services</w:t>
        </w:r>
      </w:hyperlink>
      <w:r w:rsidRPr="006715A9">
        <w:rPr>
          <w:rFonts w:ascii="Arial" w:hAnsi="Arial" w:cs="Arial"/>
        </w:rPr>
        <w:t>, </w:t>
      </w:r>
      <w:hyperlink r:id="rId10" w:history="1">
        <w:r w:rsidRPr="006715A9">
          <w:rPr>
            <w:rStyle w:val="Hyperlink"/>
            <w:rFonts w:ascii="Arial" w:eastAsiaTheme="majorEastAsia" w:hAnsi="Arial" w:cs="Arial"/>
            <w:color w:val="7E5D8E"/>
          </w:rPr>
          <w:t>disability harassment</w:t>
        </w:r>
      </w:hyperlink>
      <w:r w:rsidRPr="006715A9">
        <w:rPr>
          <w:rFonts w:ascii="Arial" w:hAnsi="Arial" w:cs="Arial"/>
        </w:rPr>
        <w:t>.</w:t>
      </w:r>
    </w:p>
    <w:p w:rsidR="00A942BF" w:rsidRPr="006715A9" w:rsidRDefault="00A942BF" w:rsidP="008658CA">
      <w:pPr>
        <w:pStyle w:val="Heading3"/>
        <w:rPr>
          <w:rFonts w:ascii="Arial" w:hAnsi="Arial" w:cs="Arial"/>
        </w:rPr>
      </w:pPr>
      <w:bookmarkStart w:id="6" w:name="disdisc7"/>
      <w:bookmarkEnd w:id="6"/>
      <w:r w:rsidRPr="006715A9">
        <w:rPr>
          <w:rFonts w:ascii="Arial" w:hAnsi="Arial" w:cs="Arial"/>
        </w:rPr>
        <w:t>Is there someone at my school who can help answer my Section 504 questions?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Generally, yes. All school districts, colleges, and universities receiving federal financial assistance and employing 15 or more persons must designate at least one employee to coordinate their efforts to comply with and carry out their responsibilities under Section 504. This person is often, though not always, referred to as a </w:t>
      </w:r>
      <w:r w:rsidRPr="006715A9">
        <w:rPr>
          <w:rStyle w:val="Emphasis"/>
          <w:rFonts w:ascii="Arial" w:hAnsi="Arial" w:cs="Arial"/>
        </w:rPr>
        <w:t>Section 504 coordinator</w:t>
      </w:r>
      <w:r w:rsidRPr="006715A9">
        <w:rPr>
          <w:rFonts w:ascii="Arial" w:hAnsi="Arial" w:cs="Arial"/>
        </w:rPr>
        <w: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Your school is required to publish your Section 504 coordinator’s contact information in your school’s notice of nondiscrimination, typically found in any bulletins, announcements, publications, catalogs, application forms, or other recruitment materials. The Section 504 coordinator’s contact information should also be prominently posted on your school’s website. Section 504 coordinators for public school districts can also be found on OCR’s coordinators website at </w:t>
      </w:r>
      <w:hyperlink r:id="rId11" w:history="1">
        <w:r w:rsidR="00FA519F" w:rsidRPr="006715A9">
          <w:rPr>
            <w:rStyle w:val="Hyperlink"/>
            <w:rFonts w:ascii="Arial" w:eastAsiaTheme="majorEastAsia" w:hAnsi="Arial" w:cs="Arial"/>
            <w:color w:val="7E5D8E"/>
          </w:rPr>
          <w:t>US Department of Education's Civil Rights Coordinators Data</w:t>
        </w:r>
      </w:hyperlink>
      <w:r w:rsidRPr="006715A9">
        <w:rPr>
          <w:rFonts w:ascii="Arial" w:hAnsi="Arial" w:cs="Arial"/>
        </w:rPr>
        <w:t>.</w:t>
      </w:r>
    </w:p>
    <w:p w:rsidR="00A942BF" w:rsidRPr="006715A9" w:rsidRDefault="006715A9" w:rsidP="00A942BF">
      <w:pPr>
        <w:spacing w:before="300" w:after="300"/>
        <w:rPr>
          <w:rFonts w:ascii="Arial" w:hAnsi="Arial" w:cs="Arial"/>
        </w:rPr>
      </w:pPr>
      <w:r w:rsidRPr="006715A9">
        <w:rPr>
          <w:rFonts w:ascii="Arial" w:hAnsi="Arial" w:cs="Arial"/>
        </w:rPr>
        <w:pict>
          <v:rect id="_x0000_i1025" style="width:0;height:0" o:hralign="center" o:hrstd="t" o:hr="t" fillcolor="#a0a0a0" stroked="f"/>
        </w:pict>
      </w:r>
    </w:p>
    <w:p w:rsidR="00A942BF" w:rsidRPr="006715A9" w:rsidRDefault="00A942BF" w:rsidP="008658CA">
      <w:pPr>
        <w:pStyle w:val="Heading2"/>
        <w:rPr>
          <w:rFonts w:ascii="Arial" w:hAnsi="Arial" w:cs="Arial"/>
          <w:b w:val="0"/>
          <w:color w:val="auto"/>
        </w:rPr>
      </w:pPr>
      <w:r w:rsidRPr="006715A9">
        <w:rPr>
          <w:rFonts w:ascii="Arial" w:hAnsi="Arial" w:cs="Arial"/>
          <w:b w:val="0"/>
          <w:color w:val="auto"/>
        </w:rPr>
        <w:t>Frequently Asked Questions About Disability – Accessibility and Services</w:t>
      </w:r>
    </w:p>
    <w:p w:rsidR="00A942BF" w:rsidRPr="006715A9" w:rsidRDefault="00A942BF" w:rsidP="008658CA">
      <w:pPr>
        <w:pStyle w:val="Heading3"/>
        <w:rPr>
          <w:rFonts w:ascii="Arial" w:hAnsi="Arial" w:cs="Arial"/>
        </w:rPr>
      </w:pPr>
      <w:bookmarkStart w:id="7" w:name="disaccsvc1"/>
      <w:bookmarkEnd w:id="7"/>
      <w:r w:rsidRPr="006715A9">
        <w:rPr>
          <w:rFonts w:ascii="Arial" w:hAnsi="Arial" w:cs="Arial"/>
        </w:rPr>
        <w:t>What is the responsibility of school districts, colleges, and universities under Section 504 or Title II to ensure its program and activities are physically accessible to individuals with disabilities?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School districts, colleges, and universities are required to ensure that students and others with disabilities, including parents, are not denied access to programs or activities because of inaccessible facilities, including academic buildings, walkways, restrooms, athletic facilities, and parking spaces.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lastRenderedPageBreak/>
        <w:t>The precise requirements schools, colleges, and universities must meet to ensure physical accessibility depends on the date a building (or facility) was initially built (constructed) or altered. For more information about accessibility requirements, please visit </w:t>
      </w:r>
      <w:hyperlink r:id="rId12" w:history="1">
        <w:r w:rsidRPr="006715A9">
          <w:rPr>
            <w:rStyle w:val="Hyperlink"/>
            <w:rFonts w:ascii="Arial" w:eastAsiaTheme="majorEastAsia" w:hAnsi="Arial" w:cs="Arial"/>
            <w:color w:val="7E5D8E"/>
          </w:rPr>
          <w:t>www.ada.gov</w:t>
        </w:r>
      </w:hyperlink>
      <w:r w:rsidRPr="006715A9">
        <w:rPr>
          <w:rFonts w:ascii="Arial" w:hAnsi="Arial" w:cs="Arial"/>
        </w:rPr>
        <w: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Even if a building does not have to be made fully physically accessible because of its age, Section 504 and Title II require that every program or activity of the school district, college, or university be made accessible. A common way this is done is to relocate the program to an accessible portion of the building or to another building that is accessible.</w:t>
      </w:r>
    </w:p>
    <w:p w:rsidR="00A942BF" w:rsidRPr="006715A9" w:rsidRDefault="00A942BF" w:rsidP="008658CA">
      <w:pPr>
        <w:pStyle w:val="Heading3"/>
        <w:rPr>
          <w:rFonts w:ascii="Arial" w:hAnsi="Arial" w:cs="Arial"/>
        </w:rPr>
      </w:pPr>
      <w:bookmarkStart w:id="8" w:name="disaccsvc2"/>
      <w:bookmarkEnd w:id="8"/>
      <w:r w:rsidRPr="006715A9">
        <w:rPr>
          <w:rFonts w:ascii="Arial" w:hAnsi="Arial" w:cs="Arial"/>
        </w:rPr>
        <w:t>What types of services are required by Section 504 and Title II for students with disabilities in public elementary and secondary schools?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School districts are required to provide each student with a disability any special education and/or related aids and services necessary to ensure the student is receiving a free appropriate public education (FAPE). Examples of aids and services a school district may be required to provide include physical therapy or speech language therapy.</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In addition, a school district may need to modify the regular education program in order to provide FAPE. Examples of such modifications include additional time to take tests or a modification to a policy regarding the permitted number of absences in a school year when a student's absences are due to a disability.</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More information is available on OCR’s webpage addressing </w:t>
      </w:r>
      <w:hyperlink r:id="rId13" w:history="1">
        <w:r w:rsidRPr="006715A9">
          <w:rPr>
            <w:rStyle w:val="Hyperlink"/>
            <w:rFonts w:ascii="Arial" w:eastAsiaTheme="majorEastAsia" w:hAnsi="Arial" w:cs="Arial"/>
            <w:color w:val="7E5D8E"/>
          </w:rPr>
          <w:t>Frequently Asked Questions about FAPE</w:t>
        </w:r>
      </w:hyperlink>
      <w:r w:rsidRPr="006715A9">
        <w:rPr>
          <w:rFonts w:ascii="Arial" w:hAnsi="Arial" w:cs="Arial"/>
        </w:rPr>
        <w:t>.</w:t>
      </w:r>
    </w:p>
    <w:p w:rsidR="00A942BF" w:rsidRPr="006715A9" w:rsidRDefault="00A942BF" w:rsidP="00FA519F">
      <w:pPr>
        <w:pStyle w:val="Heading2"/>
        <w:rPr>
          <w:rFonts w:ascii="Arial" w:hAnsi="Arial" w:cs="Arial"/>
        </w:rPr>
      </w:pPr>
      <w:bookmarkStart w:id="9" w:name="disaccsvc3"/>
      <w:bookmarkEnd w:id="9"/>
      <w:r w:rsidRPr="006715A9">
        <w:rPr>
          <w:rFonts w:ascii="Arial" w:hAnsi="Arial" w:cs="Arial"/>
        </w:rPr>
        <w:t>What types of disability-related services are required by Section 504 and Title II for students with disabilities in colleges and universities?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Colleges and universities are required by Section 504 and Title II to provide students with disabilities with appropriate academic adjustments and auxiliary aids and services that are necessary to afford an individual with a disability an equal opportunity to participate in the school’s program. An example of an academic adjustment is extra time to take a test. Examples of auxiliary aids include notetakers, interpreters, readers, and specialized computer equipment.</w:t>
      </w:r>
    </w:p>
    <w:p w:rsidR="00A942BF" w:rsidRPr="006715A9" w:rsidRDefault="006715A9" w:rsidP="00A942BF">
      <w:pPr>
        <w:spacing w:before="300" w:after="300"/>
        <w:rPr>
          <w:rFonts w:ascii="Arial" w:hAnsi="Arial" w:cs="Arial"/>
        </w:rPr>
      </w:pPr>
      <w:r w:rsidRPr="006715A9">
        <w:rPr>
          <w:rFonts w:ascii="Arial" w:hAnsi="Arial" w:cs="Arial"/>
        </w:rPr>
        <w:pict>
          <v:rect id="_x0000_i1026" style="width:0;height:0" o:hralign="center" o:hrstd="t" o:hr="t" fillcolor="#a0a0a0" stroked="f"/>
        </w:pic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Frequently Asked Questions About Disability – Disability Harassment</w:t>
      </w:r>
    </w:p>
    <w:p w:rsidR="00A942BF" w:rsidRPr="006715A9" w:rsidRDefault="00A942BF" w:rsidP="00FA519F">
      <w:pPr>
        <w:pStyle w:val="Heading3"/>
        <w:rPr>
          <w:rFonts w:ascii="Arial" w:hAnsi="Arial" w:cs="Arial"/>
        </w:rPr>
      </w:pPr>
      <w:bookmarkStart w:id="10" w:name="dishar1"/>
      <w:bookmarkEnd w:id="10"/>
      <w:r w:rsidRPr="006715A9">
        <w:rPr>
          <w:rFonts w:ascii="Arial" w:hAnsi="Arial" w:cs="Arial"/>
        </w:rPr>
        <w:t>What is disability harassment?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Disability harassment is unwelcome conduct based on a student’s actual or perceived disability. Harassers can be students, school staff, or even someone visiting the school, such as a student or employee from another school. Disability harassment can take many forms, including slurs, taunts, stereotypes, or name-calling, as well as disability-motivated physical threats, attacks, or other hateful conduct.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lastRenderedPageBreak/>
        <w:t>In addition, at the elementary and secondary school level, bullying or harassment of a student with a disability on </w:t>
      </w:r>
      <w:r w:rsidRPr="006715A9">
        <w:rPr>
          <w:rStyle w:val="Emphasis"/>
          <w:rFonts w:ascii="Arial" w:hAnsi="Arial" w:cs="Arial"/>
        </w:rPr>
        <w:t>any</w:t>
      </w:r>
      <w:r w:rsidRPr="006715A9">
        <w:rPr>
          <w:rFonts w:ascii="Arial" w:hAnsi="Arial" w:cs="Arial"/>
        </w:rPr>
        <w:t> basis can result in the denial of FAPE that must be remedied under Section 504.</w:t>
      </w:r>
    </w:p>
    <w:p w:rsidR="00A942BF" w:rsidRPr="006715A9" w:rsidRDefault="00A942BF" w:rsidP="00FA519F">
      <w:pPr>
        <w:pStyle w:val="Heading3"/>
        <w:rPr>
          <w:rFonts w:ascii="Arial" w:hAnsi="Arial" w:cs="Arial"/>
        </w:rPr>
      </w:pPr>
      <w:bookmarkStart w:id="11" w:name="dishar2"/>
      <w:bookmarkEnd w:id="11"/>
      <w:r w:rsidRPr="006715A9">
        <w:rPr>
          <w:rFonts w:ascii="Arial" w:hAnsi="Arial" w:cs="Arial"/>
        </w:rPr>
        <w:t>What are the responsibilities of school districts, colleges, and universities under Section 504 and Title II to address disability harassment?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Section 504 and Title II require an educational institution to respond to disability-based harassment that is sufficiently serious to deny or limit a student’s ability to participate in or benefit from the recipient’s education programs and activities (i.e., creates a hostile environment).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When an educational institution knows or reasonably should know of possible disability harassment, it must take immediate and appropriate steps to investigate or otherwise determine what occurred. If an investigation reveals that the harassment created a hostile environment, the educational institution must take prompt and effective steps reasonably calculated to end the harassment, eliminate the hostile environment, prevent its recurrence, and, as appropriate, remedy its effects.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Note that school districts must also assess the effect of bullying and harassment on a student with a disability even if it was not disability-based harassment and even if it did not create a hostile environment. More information about the intersection of bullying and FAPE is available </w:t>
      </w:r>
      <w:hyperlink r:id="rId14" w:history="1">
        <w:r w:rsidRPr="006715A9">
          <w:rPr>
            <w:rStyle w:val="Hyperlink"/>
            <w:rFonts w:ascii="Arial" w:eastAsiaTheme="majorEastAsia" w:hAnsi="Arial" w:cs="Arial"/>
            <w:color w:val="7E5D8E"/>
          </w:rPr>
          <w:t>here</w:t>
        </w:r>
      </w:hyperlink>
      <w:r w:rsidRPr="006715A9">
        <w:rPr>
          <w:rFonts w:ascii="Arial" w:hAnsi="Arial" w:cs="Arial"/>
        </w:rPr>
        <w:t>.</w:t>
      </w:r>
    </w:p>
    <w:p w:rsidR="00A942BF" w:rsidRPr="006715A9" w:rsidRDefault="00A942BF" w:rsidP="00FA519F">
      <w:pPr>
        <w:pStyle w:val="Heading3"/>
        <w:rPr>
          <w:rFonts w:ascii="Arial" w:hAnsi="Arial" w:cs="Arial"/>
        </w:rPr>
      </w:pPr>
      <w:bookmarkStart w:id="12" w:name="dishar3"/>
      <w:bookmarkEnd w:id="12"/>
      <w:r w:rsidRPr="006715A9">
        <w:rPr>
          <w:rFonts w:ascii="Arial" w:hAnsi="Arial" w:cs="Arial"/>
        </w:rPr>
        <w:t>How do educational institutions balance their Section 504 and Title II obligations with individuals’ First Amendment rights?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OCR has consistently reaffirmed that the Federal civil rights laws it enforces protect students from prohibited discrimination, and are not intended to restrict expressive activities or speech protected under the U.S. Constitution’s First Amendment.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The fact that discriminatory harassment involves speech, however, does not relieve the school of its obligation to respond if the speech contributes to a hostile environment. Schools can protect students from such harassment without running afoul of students’ and staff First Amendment rights. For instance, in a situation where the First Amendment prohibits a public university from restricting the right of students to express persistent and pervasive derogatory opinions about students with a particular type of disability, the university can instead meet its obligation by, among other steps, communicating a rejection of stereotypical, derogatory opinions and ensuring that competing views are heard. Similarly, educational institutions can establish a campus culture that is welcoming and respectful of the diversity all students and institute campus climate checks to assess the effectiveness of the school’s efforts to ensure that it is free from harassment. Schools can also encourage students on all sides of an issue to express disagreement over ideas or beliefs in a respectful manner. Schools should be alert to take more targeted responsive action when speech crosses over into direct threats or actionable speech or conduct.</w:t>
      </w:r>
    </w:p>
    <w:p w:rsidR="00A942BF" w:rsidRPr="006715A9" w:rsidRDefault="00A942BF" w:rsidP="00FA519F">
      <w:pPr>
        <w:pStyle w:val="Heading3"/>
        <w:rPr>
          <w:rFonts w:ascii="Arial" w:hAnsi="Arial" w:cs="Arial"/>
        </w:rPr>
      </w:pPr>
      <w:bookmarkStart w:id="13" w:name="dishar4"/>
      <w:bookmarkEnd w:id="13"/>
      <w:r w:rsidRPr="006715A9">
        <w:rPr>
          <w:rFonts w:ascii="Arial" w:hAnsi="Arial" w:cs="Arial"/>
        </w:rPr>
        <w:lastRenderedPageBreak/>
        <w:t>How does OCR address disability harassment against students?</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OCR investigates and resolves allegations that educational institutions that are recipients of federal funds or that are public entities have failed to protect students from harassment based on disability. Where OCR identifies concerns or violations, educational institutions often resolve them with agreements requiring educational institutions to adopt effective anti-harassment policies and procedures, train staff and students, address the incidents in question, and take other steps to restore a nondiscriminatory environment.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In addition to resolving investigations, OCR takes steps to inform schools of their obligation to provide a nondiscriminatory environment. To see relevant policy guidance relating to disability-based harassment or harassment of students with disabilities, please click </w:t>
      </w:r>
      <w:hyperlink r:id="rId15" w:history="1">
        <w:r w:rsidR="008658CA" w:rsidRPr="006715A9">
          <w:rPr>
            <w:rStyle w:val="Hyperlink"/>
            <w:rFonts w:ascii="Arial" w:eastAsiaTheme="majorEastAsia" w:hAnsi="Arial" w:cs="Arial"/>
            <w:color w:val="7E5D8E"/>
          </w:rPr>
          <w:t>U.S. DOE Disability Discrimination Policy Guidance</w:t>
        </w:r>
      </w:hyperlink>
      <w:r w:rsidRPr="006715A9">
        <w:rPr>
          <w:rFonts w:ascii="Arial" w:hAnsi="Arial" w:cs="Arial"/>
        </w:rPr>
        <w:t>.</w:t>
      </w:r>
    </w:p>
    <w:p w:rsidR="00A942BF" w:rsidRPr="006715A9" w:rsidRDefault="00A942BF" w:rsidP="00A942BF">
      <w:pPr>
        <w:pStyle w:val="NormalWeb"/>
        <w:spacing w:before="0" w:beforeAutospacing="0" w:after="150" w:afterAutospacing="0"/>
        <w:rPr>
          <w:rFonts w:ascii="Arial" w:hAnsi="Arial" w:cs="Arial"/>
        </w:rPr>
      </w:pPr>
      <w:r w:rsidRPr="006715A9">
        <w:rPr>
          <w:rFonts w:ascii="Arial" w:hAnsi="Arial" w:cs="Arial"/>
        </w:rPr>
        <w:t>OCR’s field offices also engage in a variety of technical assistance activities in collaboration with state and local education and law enforcement agencies to encourage educational institutions to improve their anti-harassment policies and procedures and to assist students and their parents to work with schools to enhance the schools’ anti-harassment capability.</w:t>
      </w:r>
    </w:p>
    <w:p w:rsidR="00A942BF" w:rsidRPr="006715A9" w:rsidRDefault="008658CA" w:rsidP="008658CA">
      <w:pPr>
        <w:pStyle w:val="Heading2"/>
        <w:rPr>
          <w:rFonts w:ascii="Arial" w:hAnsi="Arial" w:cs="Arial"/>
          <w:color w:val="auto"/>
        </w:rPr>
      </w:pPr>
      <w:r w:rsidRPr="006715A9">
        <w:rPr>
          <w:rFonts w:ascii="Arial" w:hAnsi="Arial" w:cs="Arial"/>
          <w:color w:val="auto"/>
        </w:rPr>
        <w:t>Reference</w:t>
      </w:r>
    </w:p>
    <w:p w:rsidR="00354FC4" w:rsidRPr="006715A9" w:rsidRDefault="00354FC4" w:rsidP="00A942BF">
      <w:pPr>
        <w:pStyle w:val="NormalWeb"/>
        <w:spacing w:before="0" w:beforeAutospacing="0" w:after="150" w:afterAutospacing="0"/>
        <w:rPr>
          <w:rFonts w:ascii="Arial" w:hAnsi="Arial" w:cs="Arial"/>
        </w:rPr>
      </w:pPr>
      <w:r w:rsidRPr="006715A9">
        <w:rPr>
          <w:rFonts w:ascii="Arial" w:hAnsi="Arial" w:cs="Arial"/>
        </w:rPr>
        <w:t>U.S. Department of Education Disability Discrimination Frequently Asked Questions</w:t>
      </w:r>
    </w:p>
    <w:p w:rsidR="00A942BF" w:rsidRPr="006715A9" w:rsidRDefault="00354FC4" w:rsidP="00A942BF">
      <w:pPr>
        <w:pStyle w:val="NormalWeb"/>
        <w:spacing w:before="0" w:beforeAutospacing="0" w:after="150" w:afterAutospacing="0"/>
        <w:rPr>
          <w:rFonts w:ascii="Arial" w:hAnsi="Arial" w:cs="Arial"/>
        </w:rPr>
      </w:pPr>
      <w:r w:rsidRPr="006715A9">
        <w:rPr>
          <w:rFonts w:ascii="Arial" w:hAnsi="Arial" w:cs="Arial"/>
        </w:rPr>
        <w:t>https://www2.ed.gov/print/about/offices/list/ocr/frontpage/faq/disability.html</w:t>
      </w:r>
    </w:p>
    <w:bookmarkEnd w:id="0"/>
    <w:p w:rsidR="009418B9" w:rsidRPr="006715A9" w:rsidRDefault="009418B9">
      <w:pPr>
        <w:rPr>
          <w:rFonts w:ascii="Arial" w:hAnsi="Arial" w:cs="Arial"/>
        </w:rPr>
      </w:pPr>
    </w:p>
    <w:sectPr w:rsidR="009418B9" w:rsidRPr="00671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BF"/>
    <w:rsid w:val="00354FC4"/>
    <w:rsid w:val="006715A9"/>
    <w:rsid w:val="008012F7"/>
    <w:rsid w:val="008658CA"/>
    <w:rsid w:val="009418B9"/>
    <w:rsid w:val="00A942BF"/>
    <w:rsid w:val="00FA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227BE-3F2E-42F3-9563-766714A1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2BF"/>
    <w:pPr>
      <w:spacing w:line="256" w:lineRule="auto"/>
    </w:pPr>
  </w:style>
  <w:style w:type="paragraph" w:styleId="Heading1">
    <w:name w:val="heading 1"/>
    <w:basedOn w:val="Heading2"/>
    <w:next w:val="Normal"/>
    <w:link w:val="Heading1Char"/>
    <w:uiPriority w:val="9"/>
    <w:qFormat/>
    <w:rsid w:val="00FA519F"/>
    <w:pPr>
      <w:outlineLvl w:val="0"/>
    </w:pPr>
    <w:rPr>
      <w:b w:val="0"/>
      <w:color w:val="auto"/>
    </w:rPr>
  </w:style>
  <w:style w:type="paragraph" w:styleId="Heading2">
    <w:name w:val="heading 2"/>
    <w:basedOn w:val="Heading3"/>
    <w:next w:val="Normal"/>
    <w:link w:val="Heading2Char"/>
    <w:uiPriority w:val="9"/>
    <w:unhideWhenUsed/>
    <w:qFormat/>
    <w:rsid w:val="00FA519F"/>
    <w:pPr>
      <w:outlineLvl w:val="1"/>
    </w:pPr>
    <w:rPr>
      <w:bCs w:val="0"/>
    </w:rPr>
  </w:style>
  <w:style w:type="paragraph" w:styleId="Heading3">
    <w:name w:val="heading 3"/>
    <w:basedOn w:val="Normal"/>
    <w:next w:val="Normal"/>
    <w:link w:val="Heading3Char"/>
    <w:uiPriority w:val="9"/>
    <w:unhideWhenUsed/>
    <w:qFormat/>
    <w:rsid w:val="00FA519F"/>
    <w:pPr>
      <w:keepNext/>
      <w:keepLines/>
      <w:spacing w:before="300" w:after="150"/>
      <w:outlineLvl w:val="2"/>
    </w:pPr>
    <w:rPr>
      <w:rFonts w:ascii="Georgia" w:eastAsiaTheme="majorEastAsia" w:hAnsi="Georgia" w:cstheme="majorBidi"/>
      <w:b/>
      <w:bCs/>
      <w:color w:val="2D87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519F"/>
    <w:rPr>
      <w:rFonts w:ascii="Georgia" w:eastAsiaTheme="majorEastAsia" w:hAnsi="Georgia" w:cstheme="majorBidi"/>
      <w:b/>
      <w:color w:val="2D8700"/>
      <w:sz w:val="24"/>
      <w:szCs w:val="24"/>
    </w:rPr>
  </w:style>
  <w:style w:type="character" w:customStyle="1" w:styleId="Heading3Char">
    <w:name w:val="Heading 3 Char"/>
    <w:basedOn w:val="DefaultParagraphFont"/>
    <w:link w:val="Heading3"/>
    <w:uiPriority w:val="9"/>
    <w:rsid w:val="00FA519F"/>
    <w:rPr>
      <w:rFonts w:ascii="Georgia" w:eastAsiaTheme="majorEastAsia" w:hAnsi="Georgia" w:cstheme="majorBidi"/>
      <w:b/>
      <w:bCs/>
      <w:color w:val="2D8700"/>
      <w:sz w:val="24"/>
      <w:szCs w:val="24"/>
    </w:rPr>
  </w:style>
  <w:style w:type="paragraph" w:styleId="NormalWeb">
    <w:name w:val="Normal (Web)"/>
    <w:basedOn w:val="Normal"/>
    <w:uiPriority w:val="99"/>
    <w:unhideWhenUsed/>
    <w:rsid w:val="00A942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42BF"/>
    <w:rPr>
      <w:color w:val="0000FF"/>
      <w:u w:val="single"/>
    </w:rPr>
  </w:style>
  <w:style w:type="character" w:styleId="Emphasis">
    <w:name w:val="Emphasis"/>
    <w:basedOn w:val="DefaultParagraphFont"/>
    <w:uiPriority w:val="20"/>
    <w:qFormat/>
    <w:rsid w:val="00A942BF"/>
    <w:rPr>
      <w:i/>
      <w:iCs/>
    </w:rPr>
  </w:style>
  <w:style w:type="character" w:customStyle="1" w:styleId="Heading1Char">
    <w:name w:val="Heading 1 Char"/>
    <w:basedOn w:val="DefaultParagraphFont"/>
    <w:link w:val="Heading1"/>
    <w:uiPriority w:val="9"/>
    <w:rsid w:val="00FA519F"/>
    <w:rPr>
      <w:rFonts w:asciiTheme="majorHAnsi" w:eastAsiaTheme="majorEastAsia" w:hAnsiTheme="majorHAnsi" w:cstheme="majorBidi"/>
      <w:b/>
      <w:sz w:val="26"/>
      <w:szCs w:val="26"/>
    </w:rPr>
  </w:style>
  <w:style w:type="character" w:styleId="FollowedHyperlink">
    <w:name w:val="FollowedHyperlink"/>
    <w:basedOn w:val="DefaultParagraphFont"/>
    <w:uiPriority w:val="99"/>
    <w:semiHidden/>
    <w:unhideWhenUsed/>
    <w:rsid w:val="00FA519F"/>
    <w:rPr>
      <w:color w:val="954F72" w:themeColor="followedHyperlink"/>
      <w:u w:val="single"/>
    </w:rPr>
  </w:style>
  <w:style w:type="character" w:styleId="UnresolvedMention">
    <w:name w:val="Unresolved Mention"/>
    <w:basedOn w:val="DefaultParagraphFont"/>
    <w:uiPriority w:val="99"/>
    <w:semiHidden/>
    <w:unhideWhenUsed/>
    <w:rsid w:val="00354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cr/504faq.html" TargetMode="External"/><Relationship Id="rId13" Type="http://schemas.openxmlformats.org/officeDocument/2006/relationships/hyperlink" Target="https://www2.ed.gov/about/offices/list/ocr/504faq.html" TargetMode="External"/><Relationship Id="rId3" Type="http://schemas.openxmlformats.org/officeDocument/2006/relationships/webSettings" Target="webSettings.xml"/><Relationship Id="rId7" Type="http://schemas.openxmlformats.org/officeDocument/2006/relationships/hyperlink" Target="https://www2.ed.gov/about/offices/list/ocr/frontpage/pro-students/issues/dis-issue06.html" TargetMode="External"/><Relationship Id="rId12" Type="http://schemas.openxmlformats.org/officeDocument/2006/relationships/hyperlink" Target="http://www.ada.g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2.ed.gov/about/offices/list/ocr/frontpage/pro-students/issues/dis-issue04.html" TargetMode="External"/><Relationship Id="rId11" Type="http://schemas.openxmlformats.org/officeDocument/2006/relationships/hyperlink" Target="http://www.ed.gov/civ-rts-coordinators" TargetMode="External"/><Relationship Id="rId5" Type="http://schemas.openxmlformats.org/officeDocument/2006/relationships/hyperlink" Target="https://www2.ed.gov/about/offices/list/ocr/frontpage/pro-students/issues/dis-issue04.html" TargetMode="External"/><Relationship Id="rId15" Type="http://schemas.openxmlformats.org/officeDocument/2006/relationships/hyperlink" Target="https://www2.ed.gov/about/offices/list/ocr/frontpage/faq/rr/policyguidance/disability.html" TargetMode="External"/><Relationship Id="rId10" Type="http://schemas.openxmlformats.org/officeDocument/2006/relationships/hyperlink" Target="https://www2.ed.gov/about/offices/list/ocr/frontpage/pro-students/issues/dis-issue08.html" TargetMode="External"/><Relationship Id="rId4" Type="http://schemas.openxmlformats.org/officeDocument/2006/relationships/hyperlink" Target="https://www2.ed.gov/about/offices/list/ocr/docs/dcl-504faq-201109.html" TargetMode="External"/><Relationship Id="rId9" Type="http://schemas.openxmlformats.org/officeDocument/2006/relationships/hyperlink" Target="https://www2.ed.gov/about/offices/list/ocr/frontpage/pro-students/issues/dis-issue05.html" TargetMode="External"/><Relationship Id="rId14" Type="http://schemas.openxmlformats.org/officeDocument/2006/relationships/hyperlink" Target="https://www2.ed.gov/about/offices/list/ocr/frontpage/pro-students/issues/dis-issue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 Freeman</dc:creator>
  <cp:keywords/>
  <dc:description/>
  <cp:lastModifiedBy>Trudie Hughes</cp:lastModifiedBy>
  <cp:revision>4</cp:revision>
  <dcterms:created xsi:type="dcterms:W3CDTF">2019-04-25T21:00:00Z</dcterms:created>
  <dcterms:modified xsi:type="dcterms:W3CDTF">2019-06-04T17:55:00Z</dcterms:modified>
</cp:coreProperties>
</file>