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D53AB" w14:textId="77777777" w:rsidR="00EA033D" w:rsidRDefault="00EA033D" w:rsidP="00CC2E55">
      <w:pPr>
        <w:rPr>
          <w:rFonts w:ascii="Calibri" w:hAnsi="Calibri"/>
          <w:b/>
          <w:sz w:val="22"/>
          <w:szCs w:val="22"/>
        </w:rPr>
      </w:pPr>
      <w:bookmarkStart w:id="1" w:name="_GoBack"/>
      <w:bookmarkEnd w:id="1"/>
    </w:p>
    <w:p w14:paraId="289FA9E1" w14:textId="280F80F1" w:rsidR="00EA033D" w:rsidRPr="004942D3" w:rsidRDefault="00B853D5" w:rsidP="004942D3">
      <w:pPr>
        <w:pStyle w:val="Title"/>
        <w:tabs>
          <w:tab w:val="left" w:pos="12240"/>
        </w:tabs>
      </w:pPr>
      <w:r w:rsidRPr="004942D3">
        <w:t>ANALYSIS OF COLLEGE RESPONSES</w:t>
      </w:r>
      <w:r w:rsidR="00EA033D" w:rsidRPr="004942D3">
        <w:t xml:space="preserve">: </w:t>
      </w:r>
      <w:r w:rsidR="004942D3" w:rsidRPr="004942D3">
        <w:br/>
      </w:r>
      <w:r w:rsidRPr="004942D3">
        <w:t xml:space="preserve">GUIDED PATHWAYS </w:t>
      </w:r>
      <w:r w:rsidR="00EA033D" w:rsidRPr="004942D3">
        <w:t>SCALE OF ADOPTION SELF-ASSESSMENT</w:t>
      </w:r>
    </w:p>
    <w:p w14:paraId="42ADA68D" w14:textId="1F63EFD5" w:rsidR="00BA2C08" w:rsidRDefault="00B853D5" w:rsidP="00EA033D">
      <w:pPr>
        <w:jc w:val="center"/>
        <w:rPr>
          <w:rFonts w:ascii="Calibri" w:hAnsi="Calibri"/>
          <w:szCs w:val="22"/>
        </w:rPr>
      </w:pPr>
      <w:r>
        <w:rPr>
          <w:rFonts w:ascii="Calibri" w:hAnsi="Calibri"/>
          <w:szCs w:val="22"/>
        </w:rPr>
        <w:t>[AUTHOR NAMES] [STATE STUDENT SUCCESS CENTER]</w:t>
      </w:r>
    </w:p>
    <w:p w14:paraId="57F47E98" w14:textId="2EDE3118" w:rsidR="00B853D5" w:rsidRPr="00B2163F" w:rsidRDefault="00B853D5" w:rsidP="00EA033D">
      <w:pPr>
        <w:jc w:val="center"/>
        <w:rPr>
          <w:rFonts w:ascii="Calibri" w:hAnsi="Calibri"/>
          <w:szCs w:val="22"/>
        </w:rPr>
      </w:pPr>
      <w:r>
        <w:rPr>
          <w:rFonts w:ascii="Calibri" w:hAnsi="Calibri"/>
          <w:szCs w:val="22"/>
        </w:rPr>
        <w:t>[DATE]</w:t>
      </w:r>
    </w:p>
    <w:p w14:paraId="1044DFA7" w14:textId="77777777" w:rsidR="00EA033D" w:rsidRDefault="00EA033D" w:rsidP="00EA033D">
      <w:pPr>
        <w:jc w:val="center"/>
        <w:rPr>
          <w:rFonts w:ascii="Arial" w:hAnsi="Arial" w:cs="Arial"/>
          <w:b/>
          <w:sz w:val="22"/>
          <w:szCs w:val="22"/>
        </w:rPr>
      </w:pPr>
    </w:p>
    <w:p w14:paraId="4A418DA7" w14:textId="55B1DEAF" w:rsidR="0093100D" w:rsidRPr="004942D3" w:rsidRDefault="00B853D5" w:rsidP="004942D3">
      <w:pPr>
        <w:pStyle w:val="Heading1"/>
      </w:pPr>
      <w:r w:rsidRPr="004942D3">
        <w:t>INSTRUCTIONS</w:t>
      </w:r>
    </w:p>
    <w:p w14:paraId="039BB4D3" w14:textId="6C82D91E" w:rsidR="00324D8C" w:rsidRPr="004942D3" w:rsidRDefault="0050480E" w:rsidP="006B1068">
      <w:pPr>
        <w:rPr>
          <w:rFonts w:asciiTheme="majorHAnsi" w:hAnsiTheme="majorHAnsi" w:cstheme="majorHAnsi"/>
        </w:rPr>
      </w:pPr>
      <w:r>
        <w:rPr>
          <w:rFonts w:asciiTheme="majorHAnsi" w:hAnsiTheme="majorHAnsi" w:cstheme="majorHAnsi"/>
        </w:rPr>
        <w:t>This table is for reporting out the results of a state-wide administration of CCRC’s Gui</w:t>
      </w:r>
      <w:r w:rsidR="00121A44">
        <w:rPr>
          <w:rFonts w:asciiTheme="majorHAnsi" w:hAnsiTheme="majorHAnsi" w:cstheme="majorHAnsi"/>
        </w:rPr>
        <w:t>ded Pathways Scale of Adoption a</w:t>
      </w:r>
      <w:r>
        <w:rPr>
          <w:rFonts w:asciiTheme="majorHAnsi" w:hAnsiTheme="majorHAnsi" w:cstheme="majorHAnsi"/>
        </w:rPr>
        <w:t xml:space="preserve">ssessment. </w:t>
      </w:r>
      <w:r w:rsidR="00464B33">
        <w:rPr>
          <w:rFonts w:asciiTheme="majorHAnsi" w:hAnsiTheme="majorHAnsi" w:cstheme="majorHAnsi"/>
        </w:rPr>
        <w:t xml:space="preserve">Once you have completed the follow-up interviews with teams from each college, use these tables to report where each college currently stands on each essential practice. </w:t>
      </w:r>
      <w:r w:rsidR="00776B03">
        <w:rPr>
          <w:rFonts w:asciiTheme="majorHAnsi" w:hAnsiTheme="majorHAnsi" w:cstheme="majorHAnsi"/>
        </w:rPr>
        <w:t>This table is intended to be shared with all participatin</w:t>
      </w:r>
      <w:r w:rsidR="00A64966">
        <w:rPr>
          <w:rFonts w:asciiTheme="majorHAnsi" w:hAnsiTheme="majorHAnsi" w:cstheme="majorHAnsi"/>
        </w:rPr>
        <w:t xml:space="preserve">g colleges along with a memo summarizing areas of progress, challenges, and important next steps across the colleges. </w:t>
      </w:r>
    </w:p>
    <w:p w14:paraId="230DB2A6" w14:textId="7F497936" w:rsidR="00324D8C" w:rsidRPr="00234042" w:rsidRDefault="00350BF5" w:rsidP="004942D3">
      <w:pPr>
        <w:pStyle w:val="Heading1"/>
      </w:pPr>
      <w:r w:rsidRPr="00234042">
        <w:t xml:space="preserve">SAMPLE </w:t>
      </w:r>
      <w:r w:rsidR="009D428A" w:rsidRPr="00234042">
        <w:t>INTRODUCTORY</w:t>
      </w:r>
      <w:r w:rsidR="004942D3">
        <w:t xml:space="preserve"> PARAGRAPH</w:t>
      </w:r>
    </w:p>
    <w:p w14:paraId="0D409797" w14:textId="5A87EA65" w:rsidR="00324D8C" w:rsidRDefault="00324D8C" w:rsidP="0050480E">
      <w:pPr>
        <w:rPr>
          <w:rFonts w:asciiTheme="majorHAnsi" w:hAnsiTheme="majorHAnsi" w:cstheme="majorHAnsi"/>
        </w:rPr>
      </w:pPr>
      <w:r w:rsidRPr="0050480E">
        <w:rPr>
          <w:rFonts w:asciiTheme="majorHAnsi" w:hAnsiTheme="majorHAnsi" w:cstheme="majorHAnsi"/>
        </w:rPr>
        <w:t xml:space="preserve">The following tables show the results of an assessment of the extent to which </w:t>
      </w:r>
      <w:r w:rsidR="009D428A" w:rsidRPr="0050480E">
        <w:rPr>
          <w:rFonts w:asciiTheme="majorHAnsi" w:hAnsiTheme="majorHAnsi" w:cstheme="majorHAnsi"/>
        </w:rPr>
        <w:t xml:space="preserve">[STATE’S] </w:t>
      </w:r>
      <w:r w:rsidRPr="0050480E">
        <w:rPr>
          <w:rFonts w:asciiTheme="majorHAnsi" w:hAnsiTheme="majorHAnsi" w:cstheme="majorHAnsi"/>
        </w:rPr>
        <w:t>community and technical colleges have adopted “essential guided pathways practices” identified through CCRC’s research.</w:t>
      </w:r>
      <w:r w:rsidRPr="0050480E">
        <w:rPr>
          <w:rStyle w:val="FootnoteReference"/>
          <w:rFonts w:asciiTheme="majorHAnsi" w:hAnsiTheme="majorHAnsi" w:cstheme="majorHAnsi"/>
        </w:rPr>
        <w:footnoteReference w:customMarkFollows="1" w:id="1"/>
        <w:t>*</w:t>
      </w:r>
      <w:r w:rsidRPr="0050480E">
        <w:rPr>
          <w:rFonts w:asciiTheme="majorHAnsi" w:hAnsiTheme="majorHAnsi" w:cstheme="majorHAnsi"/>
        </w:rPr>
        <w:t xml:space="preserve"> Teams from each college were asked to fill out </w:t>
      </w:r>
      <w:r w:rsidR="009D428A" w:rsidRPr="0050480E">
        <w:rPr>
          <w:rFonts w:asciiTheme="majorHAnsi" w:hAnsiTheme="majorHAnsi" w:cstheme="majorHAnsi"/>
        </w:rPr>
        <w:t>the</w:t>
      </w:r>
      <w:r w:rsidRPr="0050480E">
        <w:rPr>
          <w:rFonts w:asciiTheme="majorHAnsi" w:hAnsiTheme="majorHAnsi" w:cstheme="majorHAnsi"/>
        </w:rPr>
        <w:t xml:space="preserve"> “Guided Pathways </w:t>
      </w:r>
      <w:r w:rsidR="009D428A" w:rsidRPr="0050480E">
        <w:rPr>
          <w:rFonts w:asciiTheme="majorHAnsi" w:hAnsiTheme="majorHAnsi" w:cstheme="majorHAnsi"/>
        </w:rPr>
        <w:t xml:space="preserve">Scale of Adoption </w:t>
      </w:r>
      <w:r w:rsidR="00B00C0C">
        <w:rPr>
          <w:rFonts w:asciiTheme="majorHAnsi" w:hAnsiTheme="majorHAnsi" w:cstheme="majorHAnsi"/>
        </w:rPr>
        <w:t>Self-</w:t>
      </w:r>
      <w:r w:rsidR="009D428A" w:rsidRPr="0050480E">
        <w:rPr>
          <w:rFonts w:asciiTheme="majorHAnsi" w:hAnsiTheme="majorHAnsi" w:cstheme="majorHAnsi"/>
        </w:rPr>
        <w:t xml:space="preserve">Assessment.” </w:t>
      </w:r>
      <w:r w:rsidR="00B00C0C">
        <w:rPr>
          <w:rFonts w:asciiTheme="majorHAnsi" w:hAnsiTheme="majorHAnsi" w:cstheme="majorHAnsi"/>
        </w:rPr>
        <w:t>[Insert names/State SSC</w:t>
      </w:r>
      <w:r w:rsidR="00A64966">
        <w:rPr>
          <w:rFonts w:asciiTheme="majorHAnsi" w:hAnsiTheme="majorHAnsi" w:cstheme="majorHAnsi"/>
        </w:rPr>
        <w:t>]</w:t>
      </w:r>
      <w:r w:rsidRPr="0050480E">
        <w:rPr>
          <w:rFonts w:asciiTheme="majorHAnsi" w:hAnsiTheme="majorHAnsi" w:cstheme="majorHAnsi"/>
        </w:rPr>
        <w:t xml:space="preserve"> followed up with phone calls </w:t>
      </w:r>
      <w:r w:rsidR="00A64966">
        <w:rPr>
          <w:rFonts w:asciiTheme="majorHAnsi" w:hAnsiTheme="majorHAnsi" w:cstheme="majorHAnsi"/>
        </w:rPr>
        <w:t>with teams from</w:t>
      </w:r>
      <w:r w:rsidRPr="0050480E">
        <w:rPr>
          <w:rFonts w:asciiTheme="majorHAnsi" w:hAnsiTheme="majorHAnsi" w:cstheme="majorHAnsi"/>
        </w:rPr>
        <w:t xml:space="preserve"> each college to discuss the college’s responses and better understand what the college is doing on each </w:t>
      </w:r>
      <w:r w:rsidR="00A64966">
        <w:rPr>
          <w:rFonts w:asciiTheme="majorHAnsi" w:hAnsiTheme="majorHAnsi" w:cstheme="majorHAnsi"/>
        </w:rPr>
        <w:t xml:space="preserve">essential </w:t>
      </w:r>
      <w:r w:rsidRPr="0050480E">
        <w:rPr>
          <w:rFonts w:asciiTheme="majorHAnsi" w:hAnsiTheme="majorHAnsi" w:cstheme="majorHAnsi"/>
        </w:rPr>
        <w:t xml:space="preserve">practice.  The tables on the following pages show the scale at which particular colleges have implemented the essential practices in each of the four areas of practice.  The following scale was used to </w:t>
      </w:r>
      <w:r w:rsidR="00A64966">
        <w:rPr>
          <w:rFonts w:asciiTheme="majorHAnsi" w:hAnsiTheme="majorHAnsi" w:cstheme="majorHAnsi"/>
        </w:rPr>
        <w:t>determine</w:t>
      </w:r>
      <w:r w:rsidRPr="0050480E">
        <w:rPr>
          <w:rFonts w:asciiTheme="majorHAnsi" w:hAnsiTheme="majorHAnsi" w:cstheme="majorHAnsi"/>
        </w:rPr>
        <w:t xml:space="preserve"> the extent to which a given practice had been implemented at scale, that is for all </w:t>
      </w:r>
      <w:r w:rsidR="001E46FC" w:rsidRPr="0050480E">
        <w:rPr>
          <w:rFonts w:asciiTheme="majorHAnsi" w:hAnsiTheme="majorHAnsi" w:cstheme="majorHAnsi"/>
        </w:rPr>
        <w:t>students in all programs of study:</w:t>
      </w:r>
    </w:p>
    <w:p w14:paraId="7FA7E6F7" w14:textId="67549767" w:rsidR="00324D8C" w:rsidRDefault="00324D8C" w:rsidP="006B1068">
      <w:pPr>
        <w:rPr>
          <w:rFonts w:ascii="Arial" w:hAnsi="Arial" w:cs="Arial"/>
          <w:sz w:val="22"/>
          <w:szCs w:val="22"/>
        </w:rPr>
      </w:pPr>
    </w:p>
    <w:tbl>
      <w:tblPr>
        <w:tblStyle w:val="TableGrid"/>
        <w:tblW w:w="14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0512"/>
      </w:tblGrid>
      <w:tr w:rsidR="00311EEC" w:rsidRPr="002B1389" w14:paraId="41B36762" w14:textId="77777777" w:rsidTr="00311EEC">
        <w:trPr>
          <w:trHeight w:val="293"/>
        </w:trPr>
        <w:tc>
          <w:tcPr>
            <w:tcW w:w="4158" w:type="dxa"/>
            <w:tcBorders>
              <w:bottom w:val="single" w:sz="4" w:space="0" w:color="FFFFFF" w:themeColor="background1"/>
            </w:tcBorders>
            <w:shd w:val="clear" w:color="auto" w:fill="3266A5"/>
          </w:tcPr>
          <w:p w14:paraId="235BB68D" w14:textId="5144F280" w:rsidR="003A366E" w:rsidRPr="00311EEC" w:rsidRDefault="004942D3" w:rsidP="00311EEC">
            <w:pPr>
              <w:pStyle w:val="TableHeaderWhite"/>
            </w:pPr>
            <w:r w:rsidRPr="00311EEC">
              <w:t>SCALE OF ADOPTION</w:t>
            </w:r>
          </w:p>
        </w:tc>
        <w:tc>
          <w:tcPr>
            <w:tcW w:w="10512" w:type="dxa"/>
            <w:shd w:val="clear" w:color="auto" w:fill="3266A5"/>
          </w:tcPr>
          <w:p w14:paraId="1077097B" w14:textId="7E451C68" w:rsidR="003A366E" w:rsidRPr="00311EEC" w:rsidRDefault="004942D3" w:rsidP="00311EEC">
            <w:pPr>
              <w:pStyle w:val="TableHeaderWhite"/>
            </w:pPr>
            <w:r w:rsidRPr="00311EEC">
              <w:t>DEFINITION</w:t>
            </w:r>
          </w:p>
        </w:tc>
      </w:tr>
      <w:tr w:rsidR="00311EEC" w:rsidRPr="002B1389" w14:paraId="43F63802" w14:textId="77777777" w:rsidTr="00311EEC">
        <w:trPr>
          <w:trHeight w:val="293"/>
        </w:trPr>
        <w:tc>
          <w:tcPr>
            <w:tcW w:w="4158" w:type="dxa"/>
            <w:tcBorders>
              <w:top w:val="single" w:sz="4" w:space="0" w:color="FFFFFF" w:themeColor="background1"/>
              <w:bottom w:val="single" w:sz="4" w:space="0" w:color="FFFFFF" w:themeColor="background1"/>
            </w:tcBorders>
            <w:shd w:val="clear" w:color="auto" w:fill="B8CCE4" w:themeFill="accent1" w:themeFillTint="66"/>
          </w:tcPr>
          <w:p w14:paraId="1A92012E" w14:textId="77777777" w:rsidR="003A366E" w:rsidRPr="002B1389" w:rsidRDefault="003A366E" w:rsidP="000D7AED">
            <w:pPr>
              <w:pStyle w:val="NoSpacing"/>
              <w:rPr>
                <w:rFonts w:asciiTheme="majorHAnsi" w:hAnsiTheme="majorHAnsi" w:cs="Times New Roman"/>
                <w:i/>
                <w:szCs w:val="24"/>
              </w:rPr>
            </w:pPr>
            <w:r w:rsidRPr="002B1389">
              <w:rPr>
                <w:rFonts w:asciiTheme="majorHAnsi" w:hAnsiTheme="majorHAnsi" w:cs="Times New Roman"/>
                <w:i/>
                <w:szCs w:val="24"/>
              </w:rPr>
              <w:t>Not occurring</w:t>
            </w:r>
          </w:p>
        </w:tc>
        <w:tc>
          <w:tcPr>
            <w:tcW w:w="10512" w:type="dxa"/>
            <w:tcBorders>
              <w:bottom w:val="single" w:sz="4" w:space="0" w:color="FFFFFF" w:themeColor="background1"/>
            </w:tcBorders>
            <w:shd w:val="clear" w:color="auto" w:fill="DBE5F1" w:themeFill="accent1" w:themeFillTint="33"/>
          </w:tcPr>
          <w:p w14:paraId="6E440EBC" w14:textId="77777777" w:rsidR="003A366E" w:rsidRPr="002B1389" w:rsidRDefault="003A366E" w:rsidP="000D7AED">
            <w:pPr>
              <w:pStyle w:val="NoSpacing"/>
              <w:rPr>
                <w:rFonts w:asciiTheme="majorHAnsi" w:hAnsiTheme="majorHAnsi" w:cs="Times New Roman"/>
                <w:szCs w:val="24"/>
              </w:rPr>
            </w:pPr>
            <w:r w:rsidRPr="002B1389">
              <w:rPr>
                <w:rFonts w:asciiTheme="majorHAnsi" w:hAnsiTheme="majorHAnsi" w:cs="Times New Roman"/>
                <w:szCs w:val="24"/>
              </w:rPr>
              <w:t>College is currently not following, or planning to follow, this practice</w:t>
            </w:r>
          </w:p>
        </w:tc>
      </w:tr>
      <w:tr w:rsidR="00311EEC" w:rsidRPr="002B1389" w14:paraId="7DFB159A" w14:textId="77777777" w:rsidTr="00311EEC">
        <w:trPr>
          <w:trHeight w:val="293"/>
        </w:trPr>
        <w:tc>
          <w:tcPr>
            <w:tcW w:w="4158" w:type="dxa"/>
            <w:tcBorders>
              <w:top w:val="single" w:sz="4" w:space="0" w:color="FFFFFF" w:themeColor="background1"/>
              <w:bottom w:val="single" w:sz="4" w:space="0" w:color="FFFFFF" w:themeColor="background1"/>
            </w:tcBorders>
            <w:shd w:val="clear" w:color="auto" w:fill="B8CCE4" w:themeFill="accent1" w:themeFillTint="66"/>
          </w:tcPr>
          <w:p w14:paraId="57CF8C5A" w14:textId="77777777" w:rsidR="003A366E" w:rsidRPr="002B1389" w:rsidRDefault="003A366E" w:rsidP="000D7AED">
            <w:pPr>
              <w:pStyle w:val="NoSpacing"/>
              <w:rPr>
                <w:rFonts w:asciiTheme="majorHAnsi" w:hAnsiTheme="majorHAnsi" w:cs="Times New Roman"/>
                <w:i/>
                <w:szCs w:val="24"/>
              </w:rPr>
            </w:pPr>
            <w:r w:rsidRPr="002B1389">
              <w:rPr>
                <w:rFonts w:asciiTheme="majorHAnsi" w:hAnsiTheme="majorHAnsi" w:cs="Times New Roman"/>
                <w:i/>
                <w:szCs w:val="24"/>
              </w:rPr>
              <w:t>Not systematic</w:t>
            </w:r>
          </w:p>
        </w:tc>
        <w:tc>
          <w:tcPr>
            <w:tcW w:w="10512" w:type="dxa"/>
            <w:tcBorders>
              <w:top w:val="single" w:sz="4" w:space="0" w:color="FFFFFF" w:themeColor="background1"/>
              <w:bottom w:val="single" w:sz="4" w:space="0" w:color="FFFFFF" w:themeColor="background1"/>
            </w:tcBorders>
            <w:shd w:val="clear" w:color="auto" w:fill="DBE5F1" w:themeFill="accent1" w:themeFillTint="33"/>
          </w:tcPr>
          <w:p w14:paraId="50483A8D" w14:textId="77777777" w:rsidR="003A366E" w:rsidRPr="002B1389" w:rsidRDefault="003A366E" w:rsidP="000D7AED">
            <w:pPr>
              <w:pStyle w:val="NoSpacing"/>
              <w:rPr>
                <w:rFonts w:asciiTheme="majorHAnsi" w:hAnsiTheme="majorHAnsi" w:cs="Times New Roman"/>
                <w:szCs w:val="24"/>
              </w:rPr>
            </w:pPr>
            <w:r w:rsidRPr="002B1389">
              <w:rPr>
                <w:rFonts w:asciiTheme="majorHAnsi" w:hAnsiTheme="majorHAnsi" w:cs="Times New Roman"/>
                <w:szCs w:val="24"/>
              </w:rPr>
              <w:t>Practice is incomplete, inconsistent, informal, and/or optional</w:t>
            </w:r>
          </w:p>
        </w:tc>
      </w:tr>
      <w:tr w:rsidR="00311EEC" w:rsidRPr="002B1389" w14:paraId="6A74B407" w14:textId="77777777" w:rsidTr="00311EEC">
        <w:trPr>
          <w:trHeight w:val="293"/>
        </w:trPr>
        <w:tc>
          <w:tcPr>
            <w:tcW w:w="4158" w:type="dxa"/>
            <w:tcBorders>
              <w:top w:val="single" w:sz="4" w:space="0" w:color="FFFFFF" w:themeColor="background1"/>
              <w:bottom w:val="single" w:sz="4" w:space="0" w:color="FFFFFF" w:themeColor="background1"/>
            </w:tcBorders>
            <w:shd w:val="clear" w:color="auto" w:fill="B8CCE4" w:themeFill="accent1" w:themeFillTint="66"/>
          </w:tcPr>
          <w:p w14:paraId="2478A1BE" w14:textId="77777777" w:rsidR="003A366E" w:rsidRPr="002B1389" w:rsidRDefault="003A366E" w:rsidP="000D7AED">
            <w:pPr>
              <w:pStyle w:val="NoSpacing"/>
              <w:rPr>
                <w:rFonts w:asciiTheme="majorHAnsi" w:hAnsiTheme="majorHAnsi" w:cs="Times New Roman"/>
                <w:i/>
                <w:szCs w:val="24"/>
              </w:rPr>
            </w:pPr>
            <w:r w:rsidRPr="002B1389">
              <w:rPr>
                <w:rFonts w:asciiTheme="majorHAnsi" w:hAnsiTheme="majorHAnsi" w:cs="Times New Roman"/>
                <w:i/>
                <w:szCs w:val="24"/>
              </w:rPr>
              <w:t>Planning to scale</w:t>
            </w:r>
          </w:p>
        </w:tc>
        <w:tc>
          <w:tcPr>
            <w:tcW w:w="10512" w:type="dxa"/>
            <w:tcBorders>
              <w:top w:val="single" w:sz="4" w:space="0" w:color="FFFFFF" w:themeColor="background1"/>
              <w:bottom w:val="single" w:sz="4" w:space="0" w:color="FFFFFF" w:themeColor="background1"/>
            </w:tcBorders>
            <w:shd w:val="clear" w:color="auto" w:fill="DBE5F1" w:themeFill="accent1" w:themeFillTint="33"/>
          </w:tcPr>
          <w:p w14:paraId="42E1C5F9" w14:textId="77777777" w:rsidR="003A366E" w:rsidRPr="002B1389" w:rsidRDefault="003A366E" w:rsidP="000D7AED">
            <w:pPr>
              <w:pStyle w:val="NoSpacing"/>
              <w:rPr>
                <w:rFonts w:asciiTheme="majorHAnsi" w:hAnsiTheme="majorHAnsi" w:cs="Times New Roman"/>
                <w:szCs w:val="24"/>
              </w:rPr>
            </w:pPr>
            <w:r w:rsidRPr="002B1389">
              <w:rPr>
                <w:rFonts w:asciiTheme="majorHAnsi" w:hAnsiTheme="majorHAnsi" w:cs="Times New Roman"/>
                <w:szCs w:val="24"/>
              </w:rPr>
              <w:t>College is has made plans to implement the practice at scale and has started to put these plans into place</w:t>
            </w:r>
          </w:p>
        </w:tc>
      </w:tr>
      <w:tr w:rsidR="00311EEC" w:rsidRPr="002B1389" w14:paraId="4C81E06A" w14:textId="77777777" w:rsidTr="00311EEC">
        <w:trPr>
          <w:trHeight w:val="293"/>
        </w:trPr>
        <w:tc>
          <w:tcPr>
            <w:tcW w:w="4158" w:type="dxa"/>
            <w:tcBorders>
              <w:top w:val="single" w:sz="4" w:space="0" w:color="FFFFFF" w:themeColor="background1"/>
              <w:bottom w:val="single" w:sz="4" w:space="0" w:color="FFFFFF" w:themeColor="background1"/>
            </w:tcBorders>
            <w:shd w:val="clear" w:color="auto" w:fill="B8CCE4" w:themeFill="accent1" w:themeFillTint="66"/>
          </w:tcPr>
          <w:p w14:paraId="1A2B50D4" w14:textId="77777777" w:rsidR="003A366E" w:rsidRPr="002B1389" w:rsidRDefault="003A366E" w:rsidP="000D7AED">
            <w:pPr>
              <w:pStyle w:val="NoSpacing"/>
              <w:rPr>
                <w:rFonts w:asciiTheme="majorHAnsi" w:hAnsiTheme="majorHAnsi" w:cs="Times New Roman"/>
                <w:i/>
                <w:szCs w:val="24"/>
              </w:rPr>
            </w:pPr>
            <w:r>
              <w:rPr>
                <w:rFonts w:asciiTheme="majorHAnsi" w:hAnsiTheme="majorHAnsi" w:cs="Times New Roman"/>
                <w:i/>
                <w:szCs w:val="24"/>
              </w:rPr>
              <w:t xml:space="preserve">Scaling </w:t>
            </w:r>
            <w:r w:rsidRPr="002B1389">
              <w:rPr>
                <w:rFonts w:asciiTheme="majorHAnsi" w:hAnsiTheme="majorHAnsi" w:cs="Times New Roman"/>
                <w:i/>
                <w:szCs w:val="24"/>
              </w:rPr>
              <w:t>in progress</w:t>
            </w:r>
          </w:p>
        </w:tc>
        <w:tc>
          <w:tcPr>
            <w:tcW w:w="10512" w:type="dxa"/>
            <w:tcBorders>
              <w:top w:val="single" w:sz="4" w:space="0" w:color="FFFFFF" w:themeColor="background1"/>
              <w:bottom w:val="single" w:sz="4" w:space="0" w:color="FFFFFF" w:themeColor="background1"/>
            </w:tcBorders>
            <w:shd w:val="clear" w:color="auto" w:fill="DBE5F1" w:themeFill="accent1" w:themeFillTint="33"/>
          </w:tcPr>
          <w:p w14:paraId="0AC89828" w14:textId="77777777" w:rsidR="003A366E" w:rsidRPr="002B1389" w:rsidRDefault="003A366E" w:rsidP="000D7AED">
            <w:pPr>
              <w:pStyle w:val="NoSpacing"/>
              <w:rPr>
                <w:rFonts w:asciiTheme="majorHAnsi" w:hAnsiTheme="majorHAnsi" w:cs="Times New Roman"/>
                <w:szCs w:val="24"/>
              </w:rPr>
            </w:pPr>
            <w:r w:rsidRPr="002B1389">
              <w:rPr>
                <w:rFonts w:asciiTheme="majorHAnsi" w:hAnsiTheme="majorHAnsi" w:cs="Times New Roman"/>
                <w:szCs w:val="24"/>
              </w:rPr>
              <w:t>Implementation of the practice is in progress for all students</w:t>
            </w:r>
          </w:p>
        </w:tc>
      </w:tr>
      <w:tr w:rsidR="00311EEC" w:rsidRPr="002B1389" w14:paraId="250643B0" w14:textId="77777777" w:rsidTr="00311EEC">
        <w:trPr>
          <w:trHeight w:val="293"/>
        </w:trPr>
        <w:tc>
          <w:tcPr>
            <w:tcW w:w="4158" w:type="dxa"/>
            <w:tcBorders>
              <w:top w:val="single" w:sz="4" w:space="0" w:color="FFFFFF" w:themeColor="background1"/>
              <w:bottom w:val="single" w:sz="4" w:space="0" w:color="FFFFFF" w:themeColor="background1"/>
            </w:tcBorders>
            <w:shd w:val="clear" w:color="auto" w:fill="B8CCE4" w:themeFill="accent1" w:themeFillTint="66"/>
          </w:tcPr>
          <w:p w14:paraId="2D8B30F4" w14:textId="77777777" w:rsidR="003A366E" w:rsidRPr="002B1389" w:rsidRDefault="003A366E" w:rsidP="000D7AED">
            <w:pPr>
              <w:pStyle w:val="NoSpacing"/>
              <w:rPr>
                <w:rFonts w:asciiTheme="majorHAnsi" w:hAnsiTheme="majorHAnsi" w:cs="Times New Roman"/>
                <w:i/>
                <w:szCs w:val="24"/>
              </w:rPr>
            </w:pPr>
            <w:r w:rsidRPr="002B1389">
              <w:rPr>
                <w:rFonts w:asciiTheme="majorHAnsi" w:hAnsiTheme="majorHAnsi"/>
                <w:i/>
                <w:szCs w:val="24"/>
              </w:rPr>
              <w:t>At scale</w:t>
            </w:r>
          </w:p>
        </w:tc>
        <w:tc>
          <w:tcPr>
            <w:tcW w:w="10512" w:type="dxa"/>
            <w:tcBorders>
              <w:top w:val="single" w:sz="4" w:space="0" w:color="FFFFFF" w:themeColor="background1"/>
              <w:bottom w:val="single" w:sz="4" w:space="0" w:color="FFFFFF" w:themeColor="background1"/>
            </w:tcBorders>
            <w:shd w:val="clear" w:color="auto" w:fill="DBE5F1" w:themeFill="accent1" w:themeFillTint="33"/>
          </w:tcPr>
          <w:p w14:paraId="4FE1D070" w14:textId="77777777" w:rsidR="003A366E" w:rsidRPr="002B1389" w:rsidRDefault="003A366E" w:rsidP="000D7AED">
            <w:pPr>
              <w:pStyle w:val="NoSpacing"/>
              <w:rPr>
                <w:rFonts w:asciiTheme="majorHAnsi" w:hAnsiTheme="majorHAnsi" w:cs="Times New Roman"/>
                <w:szCs w:val="24"/>
              </w:rPr>
            </w:pPr>
            <w:r w:rsidRPr="002B1389">
              <w:rPr>
                <w:rFonts w:asciiTheme="majorHAnsi" w:hAnsiTheme="majorHAnsi"/>
                <w:szCs w:val="24"/>
              </w:rPr>
              <w:t>Practice is implemented at scale—that is, for all students in all programs of study</w:t>
            </w:r>
          </w:p>
        </w:tc>
      </w:tr>
    </w:tbl>
    <w:p w14:paraId="23A6FFB9" w14:textId="5B8FE3DC" w:rsidR="00324D8C" w:rsidRDefault="00324D8C" w:rsidP="006B1068">
      <w:pPr>
        <w:rPr>
          <w:rFonts w:ascii="Arial" w:hAnsi="Arial" w:cs="Arial"/>
          <w:sz w:val="22"/>
          <w:szCs w:val="22"/>
        </w:rPr>
      </w:pPr>
    </w:p>
    <w:tbl>
      <w:tblPr>
        <w:tblStyle w:val="TableGrid"/>
        <w:tblW w:w="14935" w:type="dxa"/>
        <w:jc w:val="center"/>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865"/>
        <w:gridCol w:w="2214"/>
        <w:gridCol w:w="2214"/>
        <w:gridCol w:w="2214"/>
        <w:gridCol w:w="2214"/>
        <w:gridCol w:w="2214"/>
      </w:tblGrid>
      <w:tr w:rsidR="000A1127" w:rsidRPr="00064EB7" w14:paraId="2E7FC85B" w14:textId="0D9F11B5" w:rsidTr="00CB66F7">
        <w:trPr>
          <w:trHeight w:val="609"/>
          <w:tblHeader/>
          <w:jc w:val="center"/>
        </w:trPr>
        <w:tc>
          <w:tcPr>
            <w:tcW w:w="3865" w:type="dxa"/>
            <w:shd w:val="clear" w:color="auto" w:fill="3266A5"/>
          </w:tcPr>
          <w:p w14:paraId="0B5E14DC" w14:textId="3B9BF679" w:rsidR="000A1127" w:rsidRPr="00064EB7" w:rsidRDefault="00AD07C0" w:rsidP="00311EEC">
            <w:pPr>
              <w:pStyle w:val="TableHeaderWhite"/>
            </w:pPr>
            <w:bookmarkStart w:id="2" w:name="_Hlk486231862"/>
            <w:r>
              <w:lastRenderedPageBreak/>
              <w:t>G</w:t>
            </w:r>
            <w:r w:rsidRPr="00064EB7">
              <w:t>UIDED PATHWAYS ESSENTIAL PRACTICES</w:t>
            </w:r>
          </w:p>
        </w:tc>
        <w:tc>
          <w:tcPr>
            <w:tcW w:w="2214" w:type="dxa"/>
            <w:shd w:val="clear" w:color="auto" w:fill="3266A5"/>
          </w:tcPr>
          <w:p w14:paraId="3352E37C" w14:textId="096D880C" w:rsidR="000A1127" w:rsidRPr="00064EB7" w:rsidRDefault="00AD07C0" w:rsidP="00311EEC">
            <w:pPr>
              <w:pStyle w:val="TableHeaderWhite"/>
            </w:pPr>
            <w:r>
              <w:t>NOT OCCURRING</w:t>
            </w:r>
          </w:p>
        </w:tc>
        <w:tc>
          <w:tcPr>
            <w:tcW w:w="2214" w:type="dxa"/>
            <w:shd w:val="clear" w:color="auto" w:fill="3266A5"/>
          </w:tcPr>
          <w:p w14:paraId="0DEDE24B" w14:textId="50C464A8" w:rsidR="000A1127" w:rsidRPr="00064EB7" w:rsidRDefault="00AD07C0" w:rsidP="00311EEC">
            <w:pPr>
              <w:pStyle w:val="TableHeaderWhite"/>
            </w:pPr>
            <w:r>
              <w:t>NOT SYSTEMATIC</w:t>
            </w:r>
          </w:p>
        </w:tc>
        <w:tc>
          <w:tcPr>
            <w:tcW w:w="2214" w:type="dxa"/>
            <w:shd w:val="clear" w:color="auto" w:fill="3266A5"/>
          </w:tcPr>
          <w:p w14:paraId="7A0F0D57" w14:textId="23950FE8" w:rsidR="000A1127" w:rsidRPr="00064EB7" w:rsidRDefault="00AD07C0" w:rsidP="00311EEC">
            <w:pPr>
              <w:pStyle w:val="TableHeaderWhite"/>
            </w:pPr>
            <w:r>
              <w:t>PLANNING TO SCALE</w:t>
            </w:r>
          </w:p>
        </w:tc>
        <w:tc>
          <w:tcPr>
            <w:tcW w:w="2214" w:type="dxa"/>
            <w:shd w:val="clear" w:color="auto" w:fill="3266A5"/>
          </w:tcPr>
          <w:p w14:paraId="2BC384A4" w14:textId="369ACA37" w:rsidR="000A1127" w:rsidRPr="00064EB7" w:rsidRDefault="00AD07C0" w:rsidP="00311EEC">
            <w:pPr>
              <w:pStyle w:val="TableHeaderWhite"/>
            </w:pPr>
            <w:r>
              <w:t>SCALING IN PROGRESS</w:t>
            </w:r>
          </w:p>
        </w:tc>
        <w:tc>
          <w:tcPr>
            <w:tcW w:w="2214" w:type="dxa"/>
            <w:shd w:val="clear" w:color="auto" w:fill="3266A5"/>
          </w:tcPr>
          <w:p w14:paraId="2A76F3B8" w14:textId="6EAE0D2F" w:rsidR="000A1127" w:rsidRDefault="00AD07C0" w:rsidP="00311EEC">
            <w:pPr>
              <w:pStyle w:val="TableHeaderWhite"/>
            </w:pPr>
            <w:r>
              <w:t>AT SCALE</w:t>
            </w:r>
          </w:p>
        </w:tc>
      </w:tr>
      <w:tr w:rsidR="000A1127" w:rsidRPr="00064EB7" w14:paraId="54CC0A1C" w14:textId="30709EB4" w:rsidTr="00CB66F7">
        <w:trPr>
          <w:trHeight w:val="1646"/>
          <w:jc w:val="center"/>
        </w:trPr>
        <w:tc>
          <w:tcPr>
            <w:tcW w:w="3865" w:type="dxa"/>
            <w:shd w:val="clear" w:color="auto" w:fill="B8CCE4" w:themeFill="accent1" w:themeFillTint="66"/>
            <w:tcMar>
              <w:top w:w="29" w:type="dxa"/>
              <w:bottom w:w="29" w:type="dxa"/>
            </w:tcMar>
          </w:tcPr>
          <w:p w14:paraId="7736075F" w14:textId="77777777" w:rsidR="000A1127" w:rsidRPr="0045041E" w:rsidRDefault="000A1127" w:rsidP="00064EB7">
            <w:pPr>
              <w:pStyle w:val="Table"/>
              <w:rPr>
                <w:rFonts w:asciiTheme="majorHAnsi" w:hAnsiTheme="majorHAnsi" w:cs="Arial"/>
                <w:sz w:val="22"/>
                <w:szCs w:val="22"/>
              </w:rPr>
            </w:pPr>
            <w:r w:rsidRPr="0045041E">
              <w:rPr>
                <w:rFonts w:asciiTheme="majorHAnsi" w:hAnsiTheme="majorHAnsi" w:cs="Arial"/>
                <w:sz w:val="22"/>
                <w:szCs w:val="22"/>
              </w:rPr>
              <w:t>MAPPING Pathways to student end goals</w:t>
            </w:r>
          </w:p>
          <w:p w14:paraId="6EC5D02E" w14:textId="77777777" w:rsidR="000A1127" w:rsidRPr="0045041E" w:rsidRDefault="000A1127" w:rsidP="00064EB7">
            <w:pPr>
              <w:pStyle w:val="Tableindent"/>
              <w:rPr>
                <w:rFonts w:asciiTheme="majorHAnsi" w:hAnsiTheme="majorHAnsi" w:cs="Arial"/>
                <w:sz w:val="22"/>
                <w:szCs w:val="22"/>
              </w:rPr>
            </w:pPr>
            <w:r w:rsidRPr="0045041E">
              <w:rPr>
                <w:rFonts w:asciiTheme="majorHAnsi" w:hAnsiTheme="majorHAnsi" w:cs="Arial"/>
                <w:sz w:val="22"/>
                <w:szCs w:val="22"/>
              </w:rPr>
              <w:t>Every program is well designed to guide and prepare students to enter employment and further education in fields of importance to the college’s service area.</w:t>
            </w:r>
          </w:p>
        </w:tc>
        <w:tc>
          <w:tcPr>
            <w:tcW w:w="2214" w:type="dxa"/>
            <w:shd w:val="clear" w:color="auto" w:fill="DBE5F1" w:themeFill="accent1" w:themeFillTint="33"/>
            <w:tcMar>
              <w:top w:w="29" w:type="dxa"/>
              <w:bottom w:w="29" w:type="dxa"/>
            </w:tcMar>
          </w:tcPr>
          <w:p w14:paraId="56F2160D" w14:textId="51578C47" w:rsidR="000A1127" w:rsidRPr="00064EB7" w:rsidRDefault="000A1127" w:rsidP="00B705C0">
            <w:pPr>
              <w:rPr>
                <w:rFonts w:asciiTheme="majorHAnsi" w:hAnsiTheme="majorHAnsi" w:cs="Arial"/>
                <w:sz w:val="22"/>
                <w:szCs w:val="22"/>
              </w:rPr>
            </w:pPr>
          </w:p>
        </w:tc>
        <w:tc>
          <w:tcPr>
            <w:tcW w:w="2214" w:type="dxa"/>
            <w:shd w:val="clear" w:color="auto" w:fill="DBE5F1" w:themeFill="accent1" w:themeFillTint="33"/>
            <w:tcMar>
              <w:top w:w="29" w:type="dxa"/>
              <w:bottom w:w="29" w:type="dxa"/>
            </w:tcMar>
          </w:tcPr>
          <w:p w14:paraId="4CA4F5D3" w14:textId="77777777" w:rsidR="000A1127" w:rsidRPr="00064EB7" w:rsidRDefault="000A1127" w:rsidP="00B705C0">
            <w:pPr>
              <w:rPr>
                <w:rFonts w:asciiTheme="majorHAnsi" w:hAnsiTheme="majorHAnsi"/>
                <w:sz w:val="22"/>
                <w:szCs w:val="22"/>
              </w:rPr>
            </w:pPr>
          </w:p>
        </w:tc>
        <w:tc>
          <w:tcPr>
            <w:tcW w:w="2214" w:type="dxa"/>
            <w:shd w:val="clear" w:color="auto" w:fill="DBE5F1" w:themeFill="accent1" w:themeFillTint="33"/>
          </w:tcPr>
          <w:p w14:paraId="7B78651D" w14:textId="77777777" w:rsidR="000A1127" w:rsidRPr="00064EB7" w:rsidRDefault="000A1127" w:rsidP="000A1127">
            <w:pPr>
              <w:pStyle w:val="ListParagraph"/>
              <w:ind w:left="360"/>
              <w:rPr>
                <w:rFonts w:asciiTheme="majorHAnsi" w:hAnsiTheme="majorHAnsi" w:cs="Arial"/>
                <w:i/>
                <w:sz w:val="22"/>
                <w:szCs w:val="22"/>
              </w:rPr>
            </w:pPr>
          </w:p>
        </w:tc>
        <w:tc>
          <w:tcPr>
            <w:tcW w:w="2214" w:type="dxa"/>
            <w:shd w:val="clear" w:color="auto" w:fill="DBE5F1" w:themeFill="accent1" w:themeFillTint="33"/>
          </w:tcPr>
          <w:p w14:paraId="3392BD4F" w14:textId="77777777" w:rsidR="000A1127" w:rsidRPr="00064EB7" w:rsidRDefault="000A1127" w:rsidP="00B705C0">
            <w:pPr>
              <w:rPr>
                <w:rFonts w:asciiTheme="majorHAnsi" w:hAnsiTheme="majorHAnsi" w:cs="Arial"/>
                <w:i/>
                <w:sz w:val="22"/>
                <w:szCs w:val="22"/>
              </w:rPr>
            </w:pPr>
          </w:p>
        </w:tc>
        <w:tc>
          <w:tcPr>
            <w:tcW w:w="2214" w:type="dxa"/>
            <w:shd w:val="clear" w:color="auto" w:fill="DBE5F1" w:themeFill="accent1" w:themeFillTint="33"/>
          </w:tcPr>
          <w:p w14:paraId="6B853674" w14:textId="77777777" w:rsidR="000A1127" w:rsidRPr="00064EB7" w:rsidRDefault="000A1127" w:rsidP="00B705C0">
            <w:pPr>
              <w:rPr>
                <w:rFonts w:asciiTheme="majorHAnsi" w:hAnsiTheme="majorHAnsi" w:cs="Arial"/>
                <w:i/>
                <w:sz w:val="22"/>
                <w:szCs w:val="22"/>
              </w:rPr>
            </w:pPr>
          </w:p>
        </w:tc>
      </w:tr>
      <w:tr w:rsidR="000A1127" w:rsidRPr="00064EB7" w14:paraId="52EEFD4B" w14:textId="708702E3" w:rsidTr="00CB66F7">
        <w:trPr>
          <w:trHeight w:val="1511"/>
          <w:jc w:val="center"/>
        </w:trPr>
        <w:tc>
          <w:tcPr>
            <w:tcW w:w="3865" w:type="dxa"/>
            <w:shd w:val="clear" w:color="auto" w:fill="B8CCE4" w:themeFill="accent1" w:themeFillTint="66"/>
            <w:tcMar>
              <w:top w:w="29" w:type="dxa"/>
              <w:bottom w:w="29" w:type="dxa"/>
            </w:tcMar>
          </w:tcPr>
          <w:p w14:paraId="32ACC8B0" w14:textId="77777777" w:rsidR="000A1127" w:rsidRPr="0045041E" w:rsidRDefault="000A1127" w:rsidP="00064EB7">
            <w:pPr>
              <w:pStyle w:val="Tableindent"/>
              <w:rPr>
                <w:rFonts w:asciiTheme="majorHAnsi" w:hAnsiTheme="majorHAnsi" w:cs="Arial"/>
                <w:sz w:val="22"/>
                <w:szCs w:val="22"/>
              </w:rPr>
            </w:pPr>
            <w:r w:rsidRPr="0045041E">
              <w:rPr>
                <w:rFonts w:asciiTheme="majorHAnsi" w:hAnsiTheme="majorHAnsi" w:cs="Arial"/>
                <w:sz w:val="22"/>
                <w:szCs w:val="22"/>
              </w:rPr>
              <w:t>Detailed information is provided on the college’s website on the employment and further education opportunities targeted by each program.</w:t>
            </w:r>
          </w:p>
        </w:tc>
        <w:tc>
          <w:tcPr>
            <w:tcW w:w="2214" w:type="dxa"/>
            <w:shd w:val="clear" w:color="auto" w:fill="DBE5F1" w:themeFill="accent1" w:themeFillTint="33"/>
            <w:tcMar>
              <w:top w:w="29" w:type="dxa"/>
              <w:bottom w:w="29" w:type="dxa"/>
            </w:tcMar>
          </w:tcPr>
          <w:p w14:paraId="4E424C79" w14:textId="39E34B89" w:rsidR="000A1127" w:rsidRPr="00064EB7" w:rsidRDefault="000A1127" w:rsidP="00B705C0">
            <w:pPr>
              <w:rPr>
                <w:rFonts w:asciiTheme="majorHAnsi" w:hAnsiTheme="majorHAnsi" w:cs="Arial"/>
                <w:sz w:val="22"/>
                <w:szCs w:val="22"/>
              </w:rPr>
            </w:pPr>
          </w:p>
        </w:tc>
        <w:tc>
          <w:tcPr>
            <w:tcW w:w="2214" w:type="dxa"/>
            <w:shd w:val="clear" w:color="auto" w:fill="DBE5F1" w:themeFill="accent1" w:themeFillTint="33"/>
            <w:tcMar>
              <w:top w:w="29" w:type="dxa"/>
              <w:bottom w:w="29" w:type="dxa"/>
            </w:tcMar>
          </w:tcPr>
          <w:p w14:paraId="3CB14C57" w14:textId="77777777" w:rsidR="000A1127" w:rsidRPr="00064EB7" w:rsidRDefault="000A1127" w:rsidP="00B705C0">
            <w:pPr>
              <w:rPr>
                <w:rFonts w:asciiTheme="majorHAnsi" w:hAnsiTheme="majorHAnsi"/>
                <w:sz w:val="22"/>
                <w:szCs w:val="22"/>
              </w:rPr>
            </w:pPr>
          </w:p>
        </w:tc>
        <w:tc>
          <w:tcPr>
            <w:tcW w:w="2214" w:type="dxa"/>
            <w:shd w:val="clear" w:color="auto" w:fill="DBE5F1" w:themeFill="accent1" w:themeFillTint="33"/>
          </w:tcPr>
          <w:p w14:paraId="3F08E2BB" w14:textId="77777777" w:rsidR="000A1127" w:rsidRPr="00064EB7" w:rsidRDefault="000A1127" w:rsidP="000A1127">
            <w:pPr>
              <w:pStyle w:val="ListParagraph"/>
              <w:ind w:left="360"/>
              <w:rPr>
                <w:rFonts w:asciiTheme="majorHAnsi" w:hAnsiTheme="majorHAnsi" w:cs="Arial"/>
                <w:i/>
                <w:sz w:val="22"/>
                <w:szCs w:val="22"/>
              </w:rPr>
            </w:pPr>
          </w:p>
        </w:tc>
        <w:tc>
          <w:tcPr>
            <w:tcW w:w="2214" w:type="dxa"/>
            <w:shd w:val="clear" w:color="auto" w:fill="DBE5F1" w:themeFill="accent1" w:themeFillTint="33"/>
          </w:tcPr>
          <w:p w14:paraId="70443F7B" w14:textId="77777777" w:rsidR="000A1127" w:rsidRPr="00064EB7" w:rsidRDefault="000A1127" w:rsidP="00B705C0">
            <w:pPr>
              <w:rPr>
                <w:rFonts w:asciiTheme="majorHAnsi" w:hAnsiTheme="majorHAnsi" w:cs="Arial"/>
                <w:i/>
                <w:sz w:val="22"/>
                <w:szCs w:val="22"/>
              </w:rPr>
            </w:pPr>
          </w:p>
        </w:tc>
        <w:tc>
          <w:tcPr>
            <w:tcW w:w="2214" w:type="dxa"/>
            <w:shd w:val="clear" w:color="auto" w:fill="DBE5F1" w:themeFill="accent1" w:themeFillTint="33"/>
          </w:tcPr>
          <w:p w14:paraId="0686BD53" w14:textId="77777777" w:rsidR="000A1127" w:rsidRPr="00064EB7" w:rsidRDefault="000A1127" w:rsidP="00B705C0">
            <w:pPr>
              <w:rPr>
                <w:rFonts w:asciiTheme="majorHAnsi" w:hAnsiTheme="majorHAnsi" w:cs="Arial"/>
                <w:i/>
                <w:sz w:val="22"/>
                <w:szCs w:val="22"/>
              </w:rPr>
            </w:pPr>
          </w:p>
        </w:tc>
      </w:tr>
      <w:tr w:rsidR="000A1127" w:rsidRPr="00064EB7" w14:paraId="1EC6857B" w14:textId="7A19BA31" w:rsidTr="00CB66F7">
        <w:trPr>
          <w:trHeight w:val="1765"/>
          <w:jc w:val="center"/>
        </w:trPr>
        <w:tc>
          <w:tcPr>
            <w:tcW w:w="3865" w:type="dxa"/>
            <w:shd w:val="clear" w:color="auto" w:fill="B8CCE4" w:themeFill="accent1" w:themeFillTint="66"/>
            <w:tcMar>
              <w:top w:w="29" w:type="dxa"/>
              <w:bottom w:w="29" w:type="dxa"/>
            </w:tcMar>
          </w:tcPr>
          <w:p w14:paraId="59854832" w14:textId="7886E599" w:rsidR="000A1127" w:rsidRPr="0045041E" w:rsidRDefault="000A1127" w:rsidP="00064EB7">
            <w:pPr>
              <w:pStyle w:val="Tableindent"/>
              <w:rPr>
                <w:rFonts w:asciiTheme="majorHAnsi" w:hAnsiTheme="majorHAnsi" w:cs="Arial"/>
                <w:sz w:val="22"/>
                <w:szCs w:val="22"/>
              </w:rPr>
            </w:pPr>
            <w:r w:rsidRPr="0045041E">
              <w:rPr>
                <w:rFonts w:asciiTheme="majorHAnsi" w:hAnsiTheme="majorHAnsi" w:cs="Arial"/>
                <w:sz w:val="22"/>
                <w:szCs w:val="22"/>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tc>
        <w:tc>
          <w:tcPr>
            <w:tcW w:w="2214" w:type="dxa"/>
            <w:shd w:val="clear" w:color="auto" w:fill="DBE5F1" w:themeFill="accent1" w:themeFillTint="33"/>
            <w:tcMar>
              <w:top w:w="29" w:type="dxa"/>
              <w:bottom w:w="29" w:type="dxa"/>
            </w:tcMar>
          </w:tcPr>
          <w:p w14:paraId="477F8409" w14:textId="1A8F8013" w:rsidR="000A1127" w:rsidRPr="00064EB7" w:rsidRDefault="000A1127" w:rsidP="00B705C0">
            <w:pPr>
              <w:rPr>
                <w:rFonts w:asciiTheme="majorHAnsi" w:hAnsiTheme="majorHAnsi" w:cs="Arial"/>
                <w:sz w:val="22"/>
                <w:szCs w:val="22"/>
              </w:rPr>
            </w:pPr>
          </w:p>
        </w:tc>
        <w:tc>
          <w:tcPr>
            <w:tcW w:w="2214" w:type="dxa"/>
            <w:shd w:val="clear" w:color="auto" w:fill="DBE5F1" w:themeFill="accent1" w:themeFillTint="33"/>
            <w:tcMar>
              <w:top w:w="29" w:type="dxa"/>
              <w:bottom w:w="29" w:type="dxa"/>
            </w:tcMar>
          </w:tcPr>
          <w:p w14:paraId="41BC0657" w14:textId="77777777" w:rsidR="000A1127" w:rsidRPr="00064EB7" w:rsidRDefault="000A1127" w:rsidP="00B705C0">
            <w:pPr>
              <w:pStyle w:val="Tbul1"/>
              <w:numPr>
                <w:ilvl w:val="0"/>
                <w:numId w:val="0"/>
              </w:numPr>
              <w:ind w:left="245"/>
              <w:rPr>
                <w:rFonts w:asciiTheme="majorHAnsi" w:hAnsiTheme="majorHAnsi"/>
              </w:rPr>
            </w:pPr>
          </w:p>
        </w:tc>
        <w:tc>
          <w:tcPr>
            <w:tcW w:w="2214" w:type="dxa"/>
            <w:shd w:val="clear" w:color="auto" w:fill="DBE5F1" w:themeFill="accent1" w:themeFillTint="33"/>
          </w:tcPr>
          <w:p w14:paraId="55FB24FB" w14:textId="77777777" w:rsidR="000A1127" w:rsidRPr="00064EB7" w:rsidRDefault="000A1127" w:rsidP="000A1127">
            <w:pPr>
              <w:pStyle w:val="ListParagraph"/>
              <w:ind w:left="360"/>
              <w:rPr>
                <w:rFonts w:asciiTheme="majorHAnsi" w:hAnsiTheme="majorHAnsi" w:cs="Arial"/>
                <w:i/>
                <w:sz w:val="22"/>
                <w:szCs w:val="22"/>
              </w:rPr>
            </w:pPr>
          </w:p>
        </w:tc>
        <w:tc>
          <w:tcPr>
            <w:tcW w:w="2214" w:type="dxa"/>
            <w:shd w:val="clear" w:color="auto" w:fill="DBE5F1" w:themeFill="accent1" w:themeFillTint="33"/>
          </w:tcPr>
          <w:p w14:paraId="25CA6876" w14:textId="77777777" w:rsidR="000A1127" w:rsidRPr="00064EB7" w:rsidRDefault="000A1127" w:rsidP="00B705C0">
            <w:pPr>
              <w:rPr>
                <w:rFonts w:asciiTheme="majorHAnsi" w:hAnsiTheme="majorHAnsi" w:cs="Arial"/>
                <w:i/>
                <w:sz w:val="22"/>
                <w:szCs w:val="22"/>
              </w:rPr>
            </w:pPr>
          </w:p>
        </w:tc>
        <w:tc>
          <w:tcPr>
            <w:tcW w:w="2214" w:type="dxa"/>
            <w:shd w:val="clear" w:color="auto" w:fill="DBE5F1" w:themeFill="accent1" w:themeFillTint="33"/>
          </w:tcPr>
          <w:p w14:paraId="4808EDF9" w14:textId="77777777" w:rsidR="000A1127" w:rsidRPr="00064EB7" w:rsidRDefault="000A1127" w:rsidP="00B705C0">
            <w:pPr>
              <w:rPr>
                <w:rFonts w:asciiTheme="majorHAnsi" w:hAnsiTheme="majorHAnsi" w:cs="Arial"/>
                <w:i/>
                <w:sz w:val="22"/>
                <w:szCs w:val="22"/>
              </w:rPr>
            </w:pPr>
          </w:p>
        </w:tc>
      </w:tr>
      <w:bookmarkEnd w:id="2"/>
    </w:tbl>
    <w:p w14:paraId="6A02E027" w14:textId="77777777" w:rsidR="001B0824" w:rsidRDefault="001B0824" w:rsidP="006B1068">
      <w:pPr>
        <w:rPr>
          <w:sz w:val="22"/>
          <w:szCs w:val="22"/>
        </w:rPr>
      </w:pPr>
    </w:p>
    <w:p w14:paraId="77B75314" w14:textId="77777777" w:rsidR="006B1068" w:rsidRDefault="006B1068" w:rsidP="006B1068">
      <w:pPr>
        <w:rPr>
          <w:sz w:val="22"/>
          <w:szCs w:val="22"/>
        </w:rPr>
      </w:pPr>
      <w:r>
        <w:rPr>
          <w:sz w:val="22"/>
          <w:szCs w:val="22"/>
        </w:rPr>
        <w:br w:type="page"/>
      </w:r>
    </w:p>
    <w:tbl>
      <w:tblPr>
        <w:tblStyle w:val="TableGrid"/>
        <w:tblW w:w="149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865"/>
        <w:gridCol w:w="2340"/>
        <w:gridCol w:w="2070"/>
        <w:gridCol w:w="18"/>
        <w:gridCol w:w="2214"/>
        <w:gridCol w:w="18"/>
        <w:gridCol w:w="2156"/>
        <w:gridCol w:w="2254"/>
      </w:tblGrid>
      <w:tr w:rsidR="000A1127" w:rsidRPr="001B0824" w14:paraId="778AF869" w14:textId="12ACD6F2" w:rsidTr="00B44BDF">
        <w:trPr>
          <w:trHeight w:val="611"/>
          <w:tblHeader/>
          <w:jc w:val="center"/>
        </w:trPr>
        <w:tc>
          <w:tcPr>
            <w:tcW w:w="3865" w:type="dxa"/>
            <w:shd w:val="clear" w:color="auto" w:fill="3266A5"/>
            <w:vAlign w:val="center"/>
          </w:tcPr>
          <w:p w14:paraId="4EFB15AF" w14:textId="454B6146" w:rsidR="000A1127" w:rsidRPr="001B0824" w:rsidRDefault="00212921" w:rsidP="00212921">
            <w:pPr>
              <w:pStyle w:val="TableHeaderWhite"/>
            </w:pPr>
            <w:r w:rsidRPr="001B0824">
              <w:lastRenderedPageBreak/>
              <w:t>GUIDED PATHWAYS ESSENTIAL PRACTICES</w:t>
            </w:r>
          </w:p>
        </w:tc>
        <w:tc>
          <w:tcPr>
            <w:tcW w:w="2340" w:type="dxa"/>
            <w:shd w:val="clear" w:color="auto" w:fill="3266A5"/>
            <w:vAlign w:val="center"/>
          </w:tcPr>
          <w:p w14:paraId="117BB850" w14:textId="5972B3C7" w:rsidR="000A1127" w:rsidRPr="001B0824" w:rsidRDefault="00212921" w:rsidP="00212921">
            <w:pPr>
              <w:pStyle w:val="TableHeaderWhite"/>
            </w:pPr>
            <w:r>
              <w:t>NOT OCCURRING</w:t>
            </w:r>
          </w:p>
        </w:tc>
        <w:tc>
          <w:tcPr>
            <w:tcW w:w="2088" w:type="dxa"/>
            <w:gridSpan w:val="2"/>
            <w:shd w:val="clear" w:color="auto" w:fill="3266A5"/>
            <w:vAlign w:val="center"/>
          </w:tcPr>
          <w:p w14:paraId="525A9174" w14:textId="46CB5FF4" w:rsidR="000A1127" w:rsidRPr="001B0824" w:rsidRDefault="00212921" w:rsidP="00212921">
            <w:pPr>
              <w:pStyle w:val="TableHeaderWhite"/>
            </w:pPr>
            <w:r>
              <w:t>NOT SYSTEMATIC</w:t>
            </w:r>
          </w:p>
        </w:tc>
        <w:tc>
          <w:tcPr>
            <w:tcW w:w="2214" w:type="dxa"/>
            <w:shd w:val="clear" w:color="auto" w:fill="3266A5"/>
            <w:vAlign w:val="center"/>
          </w:tcPr>
          <w:p w14:paraId="674E31C5" w14:textId="6C85A607" w:rsidR="000A1127" w:rsidRPr="001B0824" w:rsidRDefault="00212921" w:rsidP="00212921">
            <w:pPr>
              <w:pStyle w:val="TableHeaderWhite"/>
            </w:pPr>
            <w:r>
              <w:t>PLANNING TO SCALE</w:t>
            </w:r>
          </w:p>
        </w:tc>
        <w:tc>
          <w:tcPr>
            <w:tcW w:w="2174" w:type="dxa"/>
            <w:gridSpan w:val="2"/>
            <w:shd w:val="clear" w:color="auto" w:fill="3266A5"/>
            <w:vAlign w:val="center"/>
          </w:tcPr>
          <w:p w14:paraId="1DFAEF22" w14:textId="3CC05A23" w:rsidR="000A1127" w:rsidRDefault="00212921" w:rsidP="00212921">
            <w:pPr>
              <w:pStyle w:val="TableHeaderWhite"/>
            </w:pPr>
            <w:r>
              <w:t>SCALING IN PROGRESS</w:t>
            </w:r>
          </w:p>
        </w:tc>
        <w:tc>
          <w:tcPr>
            <w:tcW w:w="2254" w:type="dxa"/>
            <w:shd w:val="clear" w:color="auto" w:fill="3266A5"/>
            <w:vAlign w:val="center"/>
          </w:tcPr>
          <w:p w14:paraId="0BBEC92D" w14:textId="783F837A" w:rsidR="000A1127" w:rsidRDefault="00212921" w:rsidP="00212921">
            <w:pPr>
              <w:pStyle w:val="TableHeaderWhite"/>
            </w:pPr>
            <w:r>
              <w:t>AT SCALE</w:t>
            </w:r>
          </w:p>
        </w:tc>
      </w:tr>
      <w:tr w:rsidR="000A1127" w:rsidRPr="001B0824" w14:paraId="042EA92C" w14:textId="31386CDC" w:rsidTr="00B44BDF">
        <w:trPr>
          <w:jc w:val="center"/>
        </w:trPr>
        <w:tc>
          <w:tcPr>
            <w:tcW w:w="3865" w:type="dxa"/>
            <w:shd w:val="clear" w:color="auto" w:fill="B8CCE4" w:themeFill="accent1" w:themeFillTint="66"/>
            <w:tcMar>
              <w:top w:w="29" w:type="dxa"/>
              <w:bottom w:w="29" w:type="dxa"/>
            </w:tcMar>
          </w:tcPr>
          <w:p w14:paraId="2968DC37" w14:textId="76013282" w:rsidR="000A1127" w:rsidRPr="00D94E3E" w:rsidRDefault="000A1127" w:rsidP="000A1127">
            <w:pPr>
              <w:pStyle w:val="Table"/>
              <w:rPr>
                <w:rFonts w:asciiTheme="majorHAnsi" w:hAnsiTheme="majorHAnsi" w:cs="Arial"/>
                <w:sz w:val="22"/>
                <w:szCs w:val="22"/>
              </w:rPr>
            </w:pPr>
            <w:r w:rsidRPr="00D94E3E">
              <w:rPr>
                <w:rFonts w:asciiTheme="majorHAnsi" w:hAnsiTheme="majorHAnsi" w:cs="Arial"/>
                <w:sz w:val="22"/>
                <w:szCs w:val="22"/>
              </w:rPr>
              <w:t xml:space="preserve">HELPING STUDENTS Choose and ENTER A PATHWAY </w:t>
            </w:r>
          </w:p>
          <w:p w14:paraId="36D4FE6D" w14:textId="1CCEF35D" w:rsidR="000A1127" w:rsidRPr="00D94E3E" w:rsidRDefault="000A1127" w:rsidP="00D94E3E">
            <w:pPr>
              <w:pStyle w:val="Tableindent"/>
              <w:numPr>
                <w:ilvl w:val="0"/>
                <w:numId w:val="3"/>
              </w:numPr>
              <w:rPr>
                <w:sz w:val="22"/>
              </w:rPr>
            </w:pPr>
            <w:r w:rsidRPr="00D94E3E">
              <w:rPr>
                <w:sz w:val="22"/>
              </w:rPr>
              <w:t>Every new student is helped to explore career/college options, choose a program of study, and develop a full-program plan as soon as possible.</w:t>
            </w:r>
          </w:p>
        </w:tc>
        <w:tc>
          <w:tcPr>
            <w:tcW w:w="2340" w:type="dxa"/>
            <w:shd w:val="clear" w:color="auto" w:fill="DBE5F1" w:themeFill="accent1" w:themeFillTint="33"/>
            <w:tcMar>
              <w:top w:w="29" w:type="dxa"/>
              <w:bottom w:w="29" w:type="dxa"/>
            </w:tcMar>
            <w:vAlign w:val="center"/>
          </w:tcPr>
          <w:p w14:paraId="1D57E528" w14:textId="0E3123E9" w:rsidR="000A1127" w:rsidRPr="001B0824" w:rsidRDefault="000A1127" w:rsidP="000A1127">
            <w:pPr>
              <w:rPr>
                <w:rFonts w:asciiTheme="majorHAnsi" w:hAnsiTheme="majorHAnsi" w:cs="Arial"/>
                <w:sz w:val="22"/>
                <w:szCs w:val="22"/>
              </w:rPr>
            </w:pPr>
          </w:p>
        </w:tc>
        <w:tc>
          <w:tcPr>
            <w:tcW w:w="2088" w:type="dxa"/>
            <w:gridSpan w:val="2"/>
            <w:shd w:val="clear" w:color="auto" w:fill="DBE5F1" w:themeFill="accent1" w:themeFillTint="33"/>
            <w:tcMar>
              <w:top w:w="29" w:type="dxa"/>
              <w:bottom w:w="29" w:type="dxa"/>
            </w:tcMar>
          </w:tcPr>
          <w:p w14:paraId="4FFEFCA2" w14:textId="77777777" w:rsidR="000A1127" w:rsidRPr="001B0824" w:rsidRDefault="000A1127" w:rsidP="000A1127">
            <w:pPr>
              <w:pStyle w:val="Tbul1"/>
              <w:numPr>
                <w:ilvl w:val="0"/>
                <w:numId w:val="0"/>
              </w:numPr>
              <w:ind w:left="245"/>
              <w:rPr>
                <w:rFonts w:asciiTheme="majorHAnsi" w:hAnsiTheme="majorHAnsi"/>
              </w:rPr>
            </w:pPr>
          </w:p>
        </w:tc>
        <w:tc>
          <w:tcPr>
            <w:tcW w:w="2214" w:type="dxa"/>
            <w:shd w:val="clear" w:color="auto" w:fill="DBE5F1" w:themeFill="accent1" w:themeFillTint="33"/>
          </w:tcPr>
          <w:p w14:paraId="2D28D58B" w14:textId="77777777" w:rsidR="000A1127" w:rsidRPr="001B0824" w:rsidRDefault="000A1127" w:rsidP="000A1127">
            <w:pPr>
              <w:pStyle w:val="ListParagraph"/>
              <w:ind w:left="360"/>
              <w:rPr>
                <w:rFonts w:asciiTheme="majorHAnsi" w:hAnsiTheme="majorHAnsi" w:cs="Arial"/>
                <w:i/>
                <w:sz w:val="22"/>
                <w:szCs w:val="22"/>
              </w:rPr>
            </w:pPr>
          </w:p>
        </w:tc>
        <w:tc>
          <w:tcPr>
            <w:tcW w:w="2174" w:type="dxa"/>
            <w:gridSpan w:val="2"/>
            <w:shd w:val="clear" w:color="auto" w:fill="DBE5F1" w:themeFill="accent1" w:themeFillTint="33"/>
          </w:tcPr>
          <w:p w14:paraId="37120514"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5CB4FF86"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7095873D" w14:textId="26BB9C16" w:rsidTr="00B44BDF">
        <w:trPr>
          <w:jc w:val="center"/>
        </w:trPr>
        <w:tc>
          <w:tcPr>
            <w:tcW w:w="3865" w:type="dxa"/>
            <w:shd w:val="clear" w:color="auto" w:fill="B8CCE4" w:themeFill="accent1" w:themeFillTint="66"/>
            <w:tcMar>
              <w:top w:w="29" w:type="dxa"/>
              <w:bottom w:w="29" w:type="dxa"/>
            </w:tcMar>
          </w:tcPr>
          <w:p w14:paraId="0D1CBA0E" w14:textId="0E9C8052"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Special supports are provided to help academically unprepared students to succeed in the “gateway” courses for the college’s major program areas—not just in college-level math and English.</w:t>
            </w:r>
          </w:p>
        </w:tc>
        <w:tc>
          <w:tcPr>
            <w:tcW w:w="2340" w:type="dxa"/>
            <w:shd w:val="clear" w:color="auto" w:fill="DBE5F1" w:themeFill="accent1" w:themeFillTint="33"/>
            <w:tcMar>
              <w:top w:w="29" w:type="dxa"/>
              <w:bottom w:w="29" w:type="dxa"/>
            </w:tcMar>
            <w:vAlign w:val="center"/>
          </w:tcPr>
          <w:p w14:paraId="0CA8D79C" w14:textId="77777777" w:rsidR="000A1127" w:rsidRDefault="000A1127" w:rsidP="000A1127">
            <w:pPr>
              <w:rPr>
                <w:rFonts w:asciiTheme="majorHAnsi" w:hAnsiTheme="majorHAnsi" w:cs="Arial"/>
                <w:sz w:val="22"/>
                <w:szCs w:val="22"/>
              </w:rPr>
            </w:pPr>
          </w:p>
          <w:p w14:paraId="2BD76E46" w14:textId="5AB5D492" w:rsidR="000A1127" w:rsidRPr="001B0824" w:rsidRDefault="000A1127" w:rsidP="000A1127">
            <w:pPr>
              <w:rPr>
                <w:rFonts w:asciiTheme="majorHAnsi" w:hAnsiTheme="majorHAnsi" w:cs="Arial"/>
                <w:sz w:val="22"/>
                <w:szCs w:val="22"/>
              </w:rPr>
            </w:pPr>
          </w:p>
        </w:tc>
        <w:tc>
          <w:tcPr>
            <w:tcW w:w="2088" w:type="dxa"/>
            <w:gridSpan w:val="2"/>
            <w:shd w:val="clear" w:color="auto" w:fill="DBE5F1" w:themeFill="accent1" w:themeFillTint="33"/>
            <w:tcMar>
              <w:top w:w="29" w:type="dxa"/>
              <w:bottom w:w="29" w:type="dxa"/>
            </w:tcMar>
          </w:tcPr>
          <w:p w14:paraId="02AE378B" w14:textId="77777777" w:rsidR="000A1127" w:rsidRPr="001B0824" w:rsidRDefault="000A1127" w:rsidP="000A1127">
            <w:pPr>
              <w:pStyle w:val="Tbul1"/>
              <w:numPr>
                <w:ilvl w:val="0"/>
                <w:numId w:val="0"/>
              </w:numPr>
              <w:ind w:left="245"/>
              <w:rPr>
                <w:rFonts w:asciiTheme="majorHAnsi" w:hAnsiTheme="majorHAnsi"/>
              </w:rPr>
            </w:pPr>
          </w:p>
        </w:tc>
        <w:tc>
          <w:tcPr>
            <w:tcW w:w="2214" w:type="dxa"/>
            <w:shd w:val="clear" w:color="auto" w:fill="DBE5F1" w:themeFill="accent1" w:themeFillTint="33"/>
          </w:tcPr>
          <w:p w14:paraId="7AA2919C" w14:textId="77777777" w:rsidR="000A1127" w:rsidRPr="001B0824" w:rsidRDefault="000A1127" w:rsidP="000A1127">
            <w:pPr>
              <w:pStyle w:val="ListParagraph"/>
              <w:ind w:left="360"/>
              <w:rPr>
                <w:rFonts w:asciiTheme="majorHAnsi" w:hAnsiTheme="majorHAnsi" w:cs="Arial"/>
                <w:i/>
                <w:sz w:val="22"/>
                <w:szCs w:val="22"/>
              </w:rPr>
            </w:pPr>
          </w:p>
        </w:tc>
        <w:tc>
          <w:tcPr>
            <w:tcW w:w="2174" w:type="dxa"/>
            <w:gridSpan w:val="2"/>
            <w:shd w:val="clear" w:color="auto" w:fill="DBE5F1" w:themeFill="accent1" w:themeFillTint="33"/>
          </w:tcPr>
          <w:p w14:paraId="0EB4ACEF"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065FBAC2"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18B6D4EB" w14:textId="218C51E3" w:rsidTr="00B44BDF">
        <w:trPr>
          <w:jc w:val="center"/>
        </w:trPr>
        <w:tc>
          <w:tcPr>
            <w:tcW w:w="3865" w:type="dxa"/>
            <w:shd w:val="clear" w:color="auto" w:fill="B8CCE4" w:themeFill="accent1" w:themeFillTint="66"/>
            <w:tcMar>
              <w:top w:w="29" w:type="dxa"/>
              <w:bottom w:w="29" w:type="dxa"/>
            </w:tcMar>
          </w:tcPr>
          <w:p w14:paraId="337234C3" w14:textId="77777777"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Required math courses are appropriately aligned with the student’s field of study.</w:t>
            </w:r>
          </w:p>
        </w:tc>
        <w:tc>
          <w:tcPr>
            <w:tcW w:w="2340" w:type="dxa"/>
            <w:shd w:val="clear" w:color="auto" w:fill="DBE5F1" w:themeFill="accent1" w:themeFillTint="33"/>
            <w:tcMar>
              <w:top w:w="29" w:type="dxa"/>
              <w:bottom w:w="29" w:type="dxa"/>
            </w:tcMar>
            <w:vAlign w:val="center"/>
          </w:tcPr>
          <w:p w14:paraId="50E20874" w14:textId="77777777" w:rsidR="000A1127" w:rsidRDefault="000A1127" w:rsidP="000A1127">
            <w:pPr>
              <w:rPr>
                <w:rFonts w:asciiTheme="majorHAnsi" w:hAnsiTheme="majorHAnsi" w:cs="Arial"/>
                <w:sz w:val="22"/>
                <w:szCs w:val="22"/>
              </w:rPr>
            </w:pPr>
          </w:p>
          <w:p w14:paraId="4ADA4B28" w14:textId="77777777" w:rsidR="000A1127" w:rsidRDefault="000A1127" w:rsidP="000A1127">
            <w:pPr>
              <w:rPr>
                <w:rFonts w:asciiTheme="majorHAnsi" w:hAnsiTheme="majorHAnsi" w:cs="Arial"/>
                <w:sz w:val="22"/>
                <w:szCs w:val="22"/>
              </w:rPr>
            </w:pPr>
          </w:p>
          <w:p w14:paraId="6FD1E425" w14:textId="77777777" w:rsidR="000A1127" w:rsidRDefault="000A1127" w:rsidP="000A1127">
            <w:pPr>
              <w:rPr>
                <w:rFonts w:asciiTheme="majorHAnsi" w:hAnsiTheme="majorHAnsi" w:cs="Arial"/>
                <w:sz w:val="22"/>
                <w:szCs w:val="22"/>
              </w:rPr>
            </w:pPr>
          </w:p>
          <w:p w14:paraId="0EA12EE5" w14:textId="77777777" w:rsidR="000A1127" w:rsidRDefault="000A1127" w:rsidP="000A1127">
            <w:pPr>
              <w:rPr>
                <w:rFonts w:asciiTheme="majorHAnsi" w:hAnsiTheme="majorHAnsi" w:cs="Arial"/>
                <w:sz w:val="22"/>
                <w:szCs w:val="22"/>
              </w:rPr>
            </w:pPr>
          </w:p>
          <w:p w14:paraId="45F98567" w14:textId="77777777" w:rsidR="000A1127" w:rsidRDefault="000A1127" w:rsidP="000A1127">
            <w:pPr>
              <w:rPr>
                <w:rFonts w:asciiTheme="majorHAnsi" w:hAnsiTheme="majorHAnsi" w:cs="Arial"/>
                <w:sz w:val="22"/>
                <w:szCs w:val="22"/>
              </w:rPr>
            </w:pPr>
          </w:p>
          <w:p w14:paraId="76B531A5" w14:textId="5890CC46" w:rsidR="000A1127" w:rsidRPr="001B0824" w:rsidRDefault="000A1127" w:rsidP="000A1127">
            <w:pPr>
              <w:rPr>
                <w:rFonts w:asciiTheme="majorHAnsi" w:hAnsiTheme="majorHAnsi" w:cs="Arial"/>
                <w:sz w:val="22"/>
                <w:szCs w:val="22"/>
              </w:rPr>
            </w:pPr>
          </w:p>
        </w:tc>
        <w:tc>
          <w:tcPr>
            <w:tcW w:w="2088" w:type="dxa"/>
            <w:gridSpan w:val="2"/>
            <w:shd w:val="clear" w:color="auto" w:fill="DBE5F1" w:themeFill="accent1" w:themeFillTint="33"/>
            <w:tcMar>
              <w:top w:w="29" w:type="dxa"/>
              <w:bottom w:w="29" w:type="dxa"/>
            </w:tcMar>
          </w:tcPr>
          <w:p w14:paraId="203E7FBA" w14:textId="77777777" w:rsidR="000A1127" w:rsidRPr="001B0824" w:rsidRDefault="000A1127" w:rsidP="000A1127">
            <w:pPr>
              <w:pStyle w:val="Tbul1"/>
              <w:numPr>
                <w:ilvl w:val="0"/>
                <w:numId w:val="0"/>
              </w:numPr>
              <w:ind w:left="245"/>
              <w:rPr>
                <w:rFonts w:asciiTheme="majorHAnsi" w:hAnsiTheme="majorHAnsi"/>
              </w:rPr>
            </w:pPr>
          </w:p>
        </w:tc>
        <w:tc>
          <w:tcPr>
            <w:tcW w:w="2214" w:type="dxa"/>
            <w:shd w:val="clear" w:color="auto" w:fill="DBE5F1" w:themeFill="accent1" w:themeFillTint="33"/>
          </w:tcPr>
          <w:p w14:paraId="5B983912" w14:textId="77777777" w:rsidR="000A1127" w:rsidRPr="001B0824" w:rsidRDefault="000A1127" w:rsidP="000A1127">
            <w:pPr>
              <w:pStyle w:val="ListParagraph"/>
              <w:ind w:left="360"/>
              <w:rPr>
                <w:rFonts w:asciiTheme="majorHAnsi" w:hAnsiTheme="majorHAnsi" w:cs="Arial"/>
                <w:i/>
                <w:sz w:val="22"/>
                <w:szCs w:val="22"/>
              </w:rPr>
            </w:pPr>
          </w:p>
        </w:tc>
        <w:tc>
          <w:tcPr>
            <w:tcW w:w="2174" w:type="dxa"/>
            <w:gridSpan w:val="2"/>
            <w:shd w:val="clear" w:color="auto" w:fill="DBE5F1" w:themeFill="accent1" w:themeFillTint="33"/>
          </w:tcPr>
          <w:p w14:paraId="73131109"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1F2E27CA"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198786E2" w14:textId="48B93E4F" w:rsidTr="00B44BDF">
        <w:trPr>
          <w:jc w:val="center"/>
        </w:trPr>
        <w:tc>
          <w:tcPr>
            <w:tcW w:w="3865" w:type="dxa"/>
            <w:shd w:val="clear" w:color="auto" w:fill="B8CCE4" w:themeFill="accent1" w:themeFillTint="66"/>
            <w:tcMar>
              <w:top w:w="29" w:type="dxa"/>
              <w:bottom w:w="29" w:type="dxa"/>
            </w:tcMar>
          </w:tcPr>
          <w:p w14:paraId="391306C0" w14:textId="77777777"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Intensive support is provided to help very poorly prepared students to succeed in college-level courses as soon as possible.</w:t>
            </w:r>
          </w:p>
        </w:tc>
        <w:tc>
          <w:tcPr>
            <w:tcW w:w="2340" w:type="dxa"/>
            <w:shd w:val="clear" w:color="auto" w:fill="DBE5F1" w:themeFill="accent1" w:themeFillTint="33"/>
            <w:tcMar>
              <w:top w:w="29" w:type="dxa"/>
              <w:bottom w:w="29" w:type="dxa"/>
            </w:tcMar>
            <w:vAlign w:val="center"/>
          </w:tcPr>
          <w:p w14:paraId="08D51898" w14:textId="77777777" w:rsidR="000A1127" w:rsidRDefault="000A1127" w:rsidP="000A1127">
            <w:pPr>
              <w:rPr>
                <w:rFonts w:asciiTheme="majorHAnsi" w:hAnsiTheme="majorHAnsi" w:cs="Arial"/>
                <w:sz w:val="22"/>
                <w:szCs w:val="22"/>
              </w:rPr>
            </w:pPr>
          </w:p>
          <w:p w14:paraId="6587C453" w14:textId="77777777" w:rsidR="000A1127" w:rsidRDefault="000A1127" w:rsidP="000A1127">
            <w:pPr>
              <w:rPr>
                <w:rFonts w:asciiTheme="majorHAnsi" w:hAnsiTheme="majorHAnsi" w:cs="Arial"/>
                <w:sz w:val="22"/>
                <w:szCs w:val="22"/>
              </w:rPr>
            </w:pPr>
          </w:p>
          <w:p w14:paraId="6750DF3B" w14:textId="460907DF" w:rsidR="000A1127" w:rsidRDefault="000A1127" w:rsidP="000A1127">
            <w:pPr>
              <w:rPr>
                <w:rFonts w:asciiTheme="majorHAnsi" w:hAnsiTheme="majorHAnsi" w:cs="Arial"/>
                <w:sz w:val="22"/>
                <w:szCs w:val="22"/>
              </w:rPr>
            </w:pPr>
          </w:p>
          <w:p w14:paraId="637FC5F5" w14:textId="37DA40F0" w:rsidR="000A1127" w:rsidRDefault="000A1127" w:rsidP="000A1127">
            <w:pPr>
              <w:rPr>
                <w:rFonts w:asciiTheme="majorHAnsi" w:hAnsiTheme="majorHAnsi" w:cs="Arial"/>
                <w:sz w:val="22"/>
                <w:szCs w:val="22"/>
              </w:rPr>
            </w:pPr>
          </w:p>
          <w:p w14:paraId="359EA8F8" w14:textId="752F27A1" w:rsidR="000A1127" w:rsidRDefault="000A1127" w:rsidP="000A1127">
            <w:pPr>
              <w:rPr>
                <w:rFonts w:asciiTheme="majorHAnsi" w:hAnsiTheme="majorHAnsi" w:cs="Arial"/>
                <w:sz w:val="22"/>
                <w:szCs w:val="22"/>
              </w:rPr>
            </w:pPr>
          </w:p>
          <w:p w14:paraId="4338AEED" w14:textId="24839752" w:rsidR="000A1127" w:rsidRPr="001B0824" w:rsidRDefault="000A1127" w:rsidP="000A1127">
            <w:pPr>
              <w:rPr>
                <w:rFonts w:asciiTheme="majorHAnsi" w:hAnsiTheme="majorHAnsi" w:cs="Arial"/>
                <w:sz w:val="22"/>
                <w:szCs w:val="22"/>
              </w:rPr>
            </w:pPr>
          </w:p>
        </w:tc>
        <w:tc>
          <w:tcPr>
            <w:tcW w:w="2088" w:type="dxa"/>
            <w:gridSpan w:val="2"/>
            <w:shd w:val="clear" w:color="auto" w:fill="DBE5F1" w:themeFill="accent1" w:themeFillTint="33"/>
            <w:tcMar>
              <w:top w:w="29" w:type="dxa"/>
              <w:bottom w:w="29" w:type="dxa"/>
            </w:tcMar>
          </w:tcPr>
          <w:p w14:paraId="709B8699" w14:textId="77777777" w:rsidR="000A1127" w:rsidRPr="001B0824" w:rsidRDefault="000A1127" w:rsidP="000A1127">
            <w:pPr>
              <w:pStyle w:val="Tbul1"/>
              <w:numPr>
                <w:ilvl w:val="0"/>
                <w:numId w:val="0"/>
              </w:numPr>
              <w:ind w:left="245"/>
              <w:rPr>
                <w:rFonts w:asciiTheme="majorHAnsi" w:hAnsiTheme="majorHAnsi"/>
              </w:rPr>
            </w:pPr>
          </w:p>
        </w:tc>
        <w:tc>
          <w:tcPr>
            <w:tcW w:w="2214" w:type="dxa"/>
            <w:shd w:val="clear" w:color="auto" w:fill="DBE5F1" w:themeFill="accent1" w:themeFillTint="33"/>
          </w:tcPr>
          <w:p w14:paraId="151CB5A4" w14:textId="77777777" w:rsidR="000A1127" w:rsidRPr="001B0824" w:rsidRDefault="000A1127" w:rsidP="000A1127">
            <w:pPr>
              <w:pStyle w:val="ListParagraph"/>
              <w:ind w:left="360"/>
              <w:rPr>
                <w:rFonts w:asciiTheme="majorHAnsi" w:hAnsiTheme="majorHAnsi" w:cs="Arial"/>
                <w:i/>
                <w:sz w:val="22"/>
                <w:szCs w:val="22"/>
              </w:rPr>
            </w:pPr>
          </w:p>
        </w:tc>
        <w:tc>
          <w:tcPr>
            <w:tcW w:w="2174" w:type="dxa"/>
            <w:gridSpan w:val="2"/>
            <w:shd w:val="clear" w:color="auto" w:fill="DBE5F1" w:themeFill="accent1" w:themeFillTint="33"/>
          </w:tcPr>
          <w:p w14:paraId="2E1915CF"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059832F2"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22821C69" w14:textId="3AE72403" w:rsidTr="00B44BDF">
        <w:trPr>
          <w:jc w:val="center"/>
        </w:trPr>
        <w:tc>
          <w:tcPr>
            <w:tcW w:w="3865" w:type="dxa"/>
            <w:shd w:val="clear" w:color="auto" w:fill="B8CCE4" w:themeFill="accent1" w:themeFillTint="66"/>
            <w:tcMar>
              <w:top w:w="29" w:type="dxa"/>
              <w:bottom w:w="29" w:type="dxa"/>
            </w:tcMar>
          </w:tcPr>
          <w:p w14:paraId="7F4E43C5" w14:textId="77777777"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The college works with high schools and other feeders to motivate and prepare students to enter college-level coursework in a program of study when they enroll in college.</w:t>
            </w:r>
          </w:p>
        </w:tc>
        <w:tc>
          <w:tcPr>
            <w:tcW w:w="2340" w:type="dxa"/>
            <w:shd w:val="clear" w:color="auto" w:fill="DBE5F1" w:themeFill="accent1" w:themeFillTint="33"/>
            <w:tcMar>
              <w:top w:w="29" w:type="dxa"/>
              <w:bottom w:w="29" w:type="dxa"/>
            </w:tcMar>
            <w:vAlign w:val="center"/>
          </w:tcPr>
          <w:p w14:paraId="62490618" w14:textId="22C4FA40" w:rsidR="000A1127" w:rsidRDefault="000A1127" w:rsidP="000A1127">
            <w:pPr>
              <w:rPr>
                <w:rFonts w:asciiTheme="majorHAnsi" w:hAnsiTheme="majorHAnsi" w:cs="Arial"/>
                <w:sz w:val="22"/>
                <w:szCs w:val="22"/>
              </w:rPr>
            </w:pPr>
          </w:p>
          <w:p w14:paraId="79C14004" w14:textId="05C1C055" w:rsidR="000A1127" w:rsidRDefault="000A1127" w:rsidP="000A1127">
            <w:pPr>
              <w:rPr>
                <w:rFonts w:asciiTheme="majorHAnsi" w:hAnsiTheme="majorHAnsi" w:cs="Arial"/>
                <w:sz w:val="22"/>
                <w:szCs w:val="22"/>
              </w:rPr>
            </w:pPr>
          </w:p>
          <w:p w14:paraId="74FC3F7D" w14:textId="0C1C8A9C" w:rsidR="000A1127" w:rsidRDefault="000A1127" w:rsidP="000A1127">
            <w:pPr>
              <w:rPr>
                <w:rFonts w:asciiTheme="majorHAnsi" w:hAnsiTheme="majorHAnsi" w:cs="Arial"/>
                <w:sz w:val="22"/>
                <w:szCs w:val="22"/>
              </w:rPr>
            </w:pPr>
          </w:p>
          <w:p w14:paraId="3DFE413D" w14:textId="5E198E56" w:rsidR="000A1127" w:rsidRDefault="000A1127" w:rsidP="000A1127">
            <w:pPr>
              <w:rPr>
                <w:rFonts w:asciiTheme="majorHAnsi" w:hAnsiTheme="majorHAnsi" w:cs="Arial"/>
                <w:sz w:val="22"/>
                <w:szCs w:val="22"/>
              </w:rPr>
            </w:pPr>
          </w:p>
          <w:p w14:paraId="15765688" w14:textId="77E25859" w:rsidR="000A1127" w:rsidRDefault="000A1127" w:rsidP="000A1127">
            <w:pPr>
              <w:rPr>
                <w:rFonts w:asciiTheme="majorHAnsi" w:hAnsiTheme="majorHAnsi" w:cs="Arial"/>
                <w:sz w:val="22"/>
                <w:szCs w:val="22"/>
              </w:rPr>
            </w:pPr>
          </w:p>
          <w:p w14:paraId="41645055" w14:textId="77777777" w:rsidR="000A1127" w:rsidRDefault="000A1127" w:rsidP="000A1127">
            <w:pPr>
              <w:rPr>
                <w:rFonts w:asciiTheme="majorHAnsi" w:hAnsiTheme="majorHAnsi" w:cs="Arial"/>
                <w:sz w:val="22"/>
                <w:szCs w:val="22"/>
              </w:rPr>
            </w:pPr>
          </w:p>
          <w:p w14:paraId="45534512" w14:textId="2490CE5A" w:rsidR="000A1127" w:rsidRPr="001B0824" w:rsidRDefault="000A1127" w:rsidP="000A1127">
            <w:pPr>
              <w:rPr>
                <w:rFonts w:asciiTheme="majorHAnsi" w:hAnsiTheme="majorHAnsi" w:cs="Arial"/>
                <w:sz w:val="22"/>
                <w:szCs w:val="22"/>
              </w:rPr>
            </w:pPr>
          </w:p>
        </w:tc>
        <w:tc>
          <w:tcPr>
            <w:tcW w:w="2088" w:type="dxa"/>
            <w:gridSpan w:val="2"/>
            <w:shd w:val="clear" w:color="auto" w:fill="DBE5F1" w:themeFill="accent1" w:themeFillTint="33"/>
            <w:tcMar>
              <w:top w:w="29" w:type="dxa"/>
              <w:bottom w:w="29" w:type="dxa"/>
            </w:tcMar>
          </w:tcPr>
          <w:p w14:paraId="268DA1BA" w14:textId="77777777" w:rsidR="000A1127" w:rsidRPr="001B0824" w:rsidRDefault="000A1127" w:rsidP="000A1127">
            <w:pPr>
              <w:pStyle w:val="Tbul1"/>
              <w:numPr>
                <w:ilvl w:val="0"/>
                <w:numId w:val="0"/>
              </w:numPr>
              <w:ind w:left="245"/>
              <w:rPr>
                <w:rFonts w:asciiTheme="majorHAnsi" w:hAnsiTheme="majorHAnsi"/>
              </w:rPr>
            </w:pPr>
          </w:p>
        </w:tc>
        <w:tc>
          <w:tcPr>
            <w:tcW w:w="2214" w:type="dxa"/>
            <w:shd w:val="clear" w:color="auto" w:fill="DBE5F1" w:themeFill="accent1" w:themeFillTint="33"/>
          </w:tcPr>
          <w:p w14:paraId="53513019" w14:textId="77777777" w:rsidR="000A1127" w:rsidRPr="001B0824" w:rsidRDefault="000A1127" w:rsidP="000A1127">
            <w:pPr>
              <w:pStyle w:val="ListParagraph"/>
              <w:ind w:left="360"/>
              <w:rPr>
                <w:rFonts w:asciiTheme="majorHAnsi" w:hAnsiTheme="majorHAnsi" w:cs="Arial"/>
                <w:i/>
                <w:sz w:val="22"/>
                <w:szCs w:val="22"/>
              </w:rPr>
            </w:pPr>
          </w:p>
        </w:tc>
        <w:tc>
          <w:tcPr>
            <w:tcW w:w="2174" w:type="dxa"/>
            <w:gridSpan w:val="2"/>
            <w:shd w:val="clear" w:color="auto" w:fill="DBE5F1" w:themeFill="accent1" w:themeFillTint="33"/>
          </w:tcPr>
          <w:p w14:paraId="5A31A082"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505D6679"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369FD389" w14:textId="2A311290" w:rsidTr="00B44BDF">
        <w:trPr>
          <w:jc w:val="center"/>
        </w:trPr>
        <w:tc>
          <w:tcPr>
            <w:tcW w:w="3865" w:type="dxa"/>
            <w:shd w:val="clear" w:color="auto" w:fill="B8CCE4" w:themeFill="accent1" w:themeFillTint="66"/>
            <w:tcMar>
              <w:top w:w="29" w:type="dxa"/>
              <w:bottom w:w="29" w:type="dxa"/>
            </w:tcMar>
          </w:tcPr>
          <w:p w14:paraId="78C4D34E" w14:textId="77777777" w:rsidR="000A1127" w:rsidRPr="00D94E3E" w:rsidRDefault="000A1127" w:rsidP="000A1127">
            <w:pPr>
              <w:pStyle w:val="Table"/>
              <w:rPr>
                <w:rFonts w:asciiTheme="majorHAnsi" w:hAnsiTheme="majorHAnsi" w:cs="Arial"/>
                <w:sz w:val="22"/>
                <w:szCs w:val="22"/>
              </w:rPr>
            </w:pPr>
            <w:r w:rsidRPr="00D94E3E">
              <w:rPr>
                <w:rFonts w:asciiTheme="majorHAnsi" w:hAnsiTheme="majorHAnsi" w:cs="Arial"/>
                <w:sz w:val="22"/>
                <w:szCs w:val="22"/>
              </w:rPr>
              <w:lastRenderedPageBreak/>
              <w:t>KEEPING STUDENTS ON THE PATH</w:t>
            </w:r>
          </w:p>
          <w:p w14:paraId="31EB5571" w14:textId="77777777" w:rsidR="000A1127" w:rsidRPr="00D94E3E" w:rsidRDefault="000A1127" w:rsidP="00D94E3E">
            <w:pPr>
              <w:pStyle w:val="Tableindent"/>
              <w:numPr>
                <w:ilvl w:val="0"/>
                <w:numId w:val="4"/>
              </w:numPr>
              <w:rPr>
                <w:sz w:val="22"/>
                <w:szCs w:val="22"/>
              </w:rPr>
            </w:pPr>
            <w:r w:rsidRPr="00D94E3E">
              <w:rPr>
                <w:sz w:val="22"/>
                <w:szCs w:val="22"/>
              </w:rPr>
              <w:t>Advisors monitor which program every student is in and how far along the student is toward completing the program requirements.</w:t>
            </w:r>
          </w:p>
        </w:tc>
        <w:tc>
          <w:tcPr>
            <w:tcW w:w="2340" w:type="dxa"/>
            <w:shd w:val="clear" w:color="auto" w:fill="DBE5F1" w:themeFill="accent1" w:themeFillTint="33"/>
            <w:tcMar>
              <w:top w:w="29" w:type="dxa"/>
              <w:bottom w:w="29" w:type="dxa"/>
            </w:tcMar>
            <w:vAlign w:val="center"/>
          </w:tcPr>
          <w:p w14:paraId="0DC2DDC1" w14:textId="68429AC0"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07C1F34F"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418A73CE"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17A531CA"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37A1F9A7"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152CD0B0" w14:textId="5BF33F40" w:rsidTr="00B44BDF">
        <w:trPr>
          <w:jc w:val="center"/>
        </w:trPr>
        <w:tc>
          <w:tcPr>
            <w:tcW w:w="3865" w:type="dxa"/>
            <w:shd w:val="clear" w:color="auto" w:fill="B8CCE4" w:themeFill="accent1" w:themeFillTint="66"/>
            <w:tcMar>
              <w:top w:w="29" w:type="dxa"/>
              <w:bottom w:w="29" w:type="dxa"/>
            </w:tcMar>
          </w:tcPr>
          <w:p w14:paraId="2C8308F2" w14:textId="77777777"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Students can easily see how far they have come and what they need to do to complete their program.</w:t>
            </w:r>
          </w:p>
        </w:tc>
        <w:tc>
          <w:tcPr>
            <w:tcW w:w="2340" w:type="dxa"/>
            <w:shd w:val="clear" w:color="auto" w:fill="DBE5F1" w:themeFill="accent1" w:themeFillTint="33"/>
            <w:tcMar>
              <w:top w:w="29" w:type="dxa"/>
              <w:bottom w:w="29" w:type="dxa"/>
            </w:tcMar>
            <w:vAlign w:val="center"/>
          </w:tcPr>
          <w:p w14:paraId="0586FE91" w14:textId="5E37B76D"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26E0B281"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70FF6100"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70467169"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1DCE7450"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22F6B390" w14:textId="1450D06C" w:rsidTr="00B44BDF">
        <w:trPr>
          <w:trHeight w:val="1626"/>
          <w:jc w:val="center"/>
        </w:trPr>
        <w:tc>
          <w:tcPr>
            <w:tcW w:w="3865" w:type="dxa"/>
            <w:shd w:val="clear" w:color="auto" w:fill="B8CCE4" w:themeFill="accent1" w:themeFillTint="66"/>
            <w:tcMar>
              <w:top w:w="29" w:type="dxa"/>
              <w:bottom w:w="29" w:type="dxa"/>
            </w:tcMar>
          </w:tcPr>
          <w:p w14:paraId="734EB0E6" w14:textId="41A1C469"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Advisors and students are alerted when students are at risk of falling off their program plans and have policies and supports in place to intervene in ways that help students get back on track.</w:t>
            </w:r>
          </w:p>
        </w:tc>
        <w:tc>
          <w:tcPr>
            <w:tcW w:w="2340" w:type="dxa"/>
            <w:shd w:val="clear" w:color="auto" w:fill="DBE5F1" w:themeFill="accent1" w:themeFillTint="33"/>
            <w:tcMar>
              <w:top w:w="29" w:type="dxa"/>
              <w:bottom w:w="29" w:type="dxa"/>
            </w:tcMar>
            <w:vAlign w:val="center"/>
          </w:tcPr>
          <w:p w14:paraId="47BC8172" w14:textId="1A84BE38"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25BEC776"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7C6422DD"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2C82374C"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7B586AEA"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5F2689FC" w14:textId="0A0A8F3E" w:rsidTr="00B44BDF">
        <w:trPr>
          <w:trHeight w:val="1752"/>
          <w:jc w:val="center"/>
        </w:trPr>
        <w:tc>
          <w:tcPr>
            <w:tcW w:w="3865" w:type="dxa"/>
            <w:shd w:val="clear" w:color="auto" w:fill="B8CCE4" w:themeFill="accent1" w:themeFillTint="66"/>
            <w:tcMar>
              <w:top w:w="29" w:type="dxa"/>
              <w:bottom w:w="29" w:type="dxa"/>
            </w:tcMar>
          </w:tcPr>
          <w:p w14:paraId="6D536FE7" w14:textId="1958E2CC"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 xml:space="preserve">Assistance is provided to students who are unlikely to be accepted into limited-access programs, such as nursing or culinary arts, to redirect them to another more viable path to credentials and a career. </w:t>
            </w:r>
          </w:p>
        </w:tc>
        <w:tc>
          <w:tcPr>
            <w:tcW w:w="2340" w:type="dxa"/>
            <w:shd w:val="clear" w:color="auto" w:fill="DBE5F1" w:themeFill="accent1" w:themeFillTint="33"/>
            <w:tcMar>
              <w:top w:w="29" w:type="dxa"/>
              <w:bottom w:w="29" w:type="dxa"/>
            </w:tcMar>
            <w:vAlign w:val="center"/>
          </w:tcPr>
          <w:p w14:paraId="1933C2A9" w14:textId="71823A37"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71BF9E3D"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45DFA9AE"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24BC4009"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5225F74B"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2BBF6731" w14:textId="158CD3D0" w:rsidTr="00B44BDF">
        <w:trPr>
          <w:jc w:val="center"/>
        </w:trPr>
        <w:tc>
          <w:tcPr>
            <w:tcW w:w="3865" w:type="dxa"/>
            <w:shd w:val="clear" w:color="auto" w:fill="B8CCE4" w:themeFill="accent1" w:themeFillTint="66"/>
            <w:tcMar>
              <w:top w:w="29" w:type="dxa"/>
              <w:bottom w:w="29" w:type="dxa"/>
            </w:tcMar>
          </w:tcPr>
          <w:p w14:paraId="64888440" w14:textId="5848CF9D" w:rsidR="000A1127" w:rsidRPr="00D94E3E" w:rsidRDefault="000A1127" w:rsidP="000A1127">
            <w:pPr>
              <w:pStyle w:val="Tableindent"/>
              <w:rPr>
                <w:rFonts w:asciiTheme="majorHAnsi" w:hAnsiTheme="majorHAnsi" w:cs="Arial"/>
                <w:sz w:val="22"/>
                <w:szCs w:val="22"/>
              </w:rPr>
            </w:pPr>
            <w:r w:rsidRPr="00D94E3E">
              <w:rPr>
                <w:rFonts w:asciiTheme="majorHAnsi" w:hAnsiTheme="majorHAnsi" w:cs="Arial"/>
                <w:sz w:val="22"/>
                <w:szCs w:val="22"/>
              </w:rPr>
              <w:t>The college schedules courses to ensure students can take the courses they need when they need them, can plan their lives around school from one term to the next, and can complete their programs in as short a time as possible.</w:t>
            </w:r>
          </w:p>
        </w:tc>
        <w:tc>
          <w:tcPr>
            <w:tcW w:w="2340" w:type="dxa"/>
            <w:shd w:val="clear" w:color="auto" w:fill="DBE5F1" w:themeFill="accent1" w:themeFillTint="33"/>
            <w:tcMar>
              <w:top w:w="29" w:type="dxa"/>
              <w:bottom w:w="29" w:type="dxa"/>
            </w:tcMar>
            <w:vAlign w:val="center"/>
          </w:tcPr>
          <w:p w14:paraId="6EB7EBD4" w14:textId="2C0041F3"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20DF25F2"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54FD94A8"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1BD741FF"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56A684B0"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473DB3AC" w14:textId="4D3D41A2" w:rsidTr="00B44BDF">
        <w:trPr>
          <w:jc w:val="center"/>
        </w:trPr>
        <w:tc>
          <w:tcPr>
            <w:tcW w:w="3865" w:type="dxa"/>
            <w:shd w:val="clear" w:color="auto" w:fill="B8CCE4" w:themeFill="accent1" w:themeFillTint="66"/>
            <w:tcMar>
              <w:top w:w="29" w:type="dxa"/>
              <w:bottom w:w="29" w:type="dxa"/>
            </w:tcMar>
          </w:tcPr>
          <w:p w14:paraId="3FCCDB14" w14:textId="79CC3C51" w:rsidR="000A1127" w:rsidRPr="001B0824" w:rsidRDefault="000A1127" w:rsidP="000A1127">
            <w:pPr>
              <w:pStyle w:val="Table"/>
              <w:rPr>
                <w:rFonts w:asciiTheme="majorHAnsi" w:hAnsiTheme="majorHAnsi" w:cs="Arial"/>
                <w:sz w:val="22"/>
                <w:szCs w:val="22"/>
              </w:rPr>
            </w:pPr>
            <w:r w:rsidRPr="001B0824">
              <w:rPr>
                <w:rFonts w:asciiTheme="majorHAnsi" w:hAnsiTheme="majorHAnsi" w:cs="Arial"/>
                <w:sz w:val="22"/>
                <w:szCs w:val="22"/>
              </w:rPr>
              <w:lastRenderedPageBreak/>
              <w:t>ENSURING THAT STUDENTS ARE LEARNING</w:t>
            </w:r>
          </w:p>
          <w:p w14:paraId="30FD778B" w14:textId="3756ABA1" w:rsidR="000A1127" w:rsidRPr="001120F1" w:rsidRDefault="000A1127" w:rsidP="000A1127">
            <w:pPr>
              <w:pStyle w:val="Tableindent"/>
              <w:numPr>
                <w:ilvl w:val="0"/>
                <w:numId w:val="12"/>
              </w:numPr>
            </w:pPr>
            <w:r w:rsidRPr="00141151">
              <w:rPr>
                <w:sz w:val="22"/>
              </w:rPr>
              <w:t>Program learning outcomes are aligned with the requirements for success in the further education and employment outcomes targeted by each program.</w:t>
            </w:r>
          </w:p>
        </w:tc>
        <w:tc>
          <w:tcPr>
            <w:tcW w:w="2340" w:type="dxa"/>
            <w:shd w:val="clear" w:color="auto" w:fill="DBE5F1" w:themeFill="accent1" w:themeFillTint="33"/>
            <w:tcMar>
              <w:top w:w="29" w:type="dxa"/>
              <w:bottom w:w="29" w:type="dxa"/>
            </w:tcMar>
          </w:tcPr>
          <w:p w14:paraId="300D00CE" w14:textId="20EEC565"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7DE4A292"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7DC35633" w14:textId="77777777" w:rsidR="000A1127" w:rsidRPr="001B0824" w:rsidRDefault="000A1127" w:rsidP="000A1127">
            <w:pPr>
              <w:pStyle w:val="ListParagraph"/>
              <w:ind w:left="360"/>
              <w:rPr>
                <w:rFonts w:asciiTheme="majorHAnsi" w:hAnsiTheme="majorHAnsi" w:cs="Arial"/>
                <w:i/>
                <w:sz w:val="22"/>
                <w:szCs w:val="22"/>
              </w:rPr>
            </w:pPr>
          </w:p>
        </w:tc>
        <w:tc>
          <w:tcPr>
            <w:tcW w:w="2156" w:type="dxa"/>
            <w:shd w:val="clear" w:color="auto" w:fill="DBE5F1" w:themeFill="accent1" w:themeFillTint="33"/>
          </w:tcPr>
          <w:p w14:paraId="528A46DA" w14:textId="77777777" w:rsidR="000A1127" w:rsidRPr="001B0824"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420BBAB2" w14:textId="77777777" w:rsidR="000A1127" w:rsidRPr="001B0824" w:rsidRDefault="000A1127" w:rsidP="000A1127">
            <w:pPr>
              <w:pStyle w:val="ListParagraph"/>
              <w:ind w:left="360"/>
              <w:rPr>
                <w:rFonts w:asciiTheme="majorHAnsi" w:hAnsiTheme="majorHAnsi" w:cs="Arial"/>
                <w:i/>
                <w:sz w:val="22"/>
                <w:szCs w:val="22"/>
              </w:rPr>
            </w:pPr>
          </w:p>
        </w:tc>
      </w:tr>
      <w:tr w:rsidR="000A1127" w:rsidRPr="001B0824" w14:paraId="65E086C1" w14:textId="57060625" w:rsidTr="00B44BDF">
        <w:trPr>
          <w:jc w:val="center"/>
        </w:trPr>
        <w:tc>
          <w:tcPr>
            <w:tcW w:w="3865" w:type="dxa"/>
            <w:shd w:val="clear" w:color="auto" w:fill="B8CCE4" w:themeFill="accent1" w:themeFillTint="66"/>
            <w:tcMar>
              <w:top w:w="29" w:type="dxa"/>
              <w:bottom w:w="29" w:type="dxa"/>
            </w:tcMar>
          </w:tcPr>
          <w:p w14:paraId="2522B869" w14:textId="78D051A4" w:rsidR="000A1127" w:rsidRPr="001B0824" w:rsidRDefault="000A1127" w:rsidP="000A1127">
            <w:pPr>
              <w:pStyle w:val="Tableindent"/>
              <w:rPr>
                <w:rFonts w:asciiTheme="majorHAnsi" w:hAnsiTheme="majorHAnsi" w:cs="Arial"/>
                <w:sz w:val="22"/>
                <w:szCs w:val="22"/>
              </w:rPr>
            </w:pPr>
            <w:r w:rsidRPr="00141151">
              <w:rPr>
                <w:rFonts w:asciiTheme="majorHAnsi" w:hAnsiTheme="majorHAnsi" w:cs="Arial"/>
                <w:sz w:val="22"/>
                <w:szCs w:val="22"/>
              </w:rPr>
              <w:t>Students have ample opportunity to apply and deepen knowledge and skills through projects, internships, co-ops, clinical placements, group projects outside of class, service learning, study abroad and other active learning activities that program faculty intentionally embed into coursework.</w:t>
            </w:r>
          </w:p>
        </w:tc>
        <w:tc>
          <w:tcPr>
            <w:tcW w:w="2340" w:type="dxa"/>
            <w:shd w:val="clear" w:color="auto" w:fill="DBE5F1" w:themeFill="accent1" w:themeFillTint="33"/>
            <w:tcMar>
              <w:top w:w="29" w:type="dxa"/>
              <w:bottom w:w="29" w:type="dxa"/>
            </w:tcMar>
          </w:tcPr>
          <w:p w14:paraId="79CF6782" w14:textId="03177D6D"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24C2F292"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22F6796C"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5AF34DAC"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1D269E39"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065C6143" w14:textId="6D90AFF2" w:rsidTr="00B44BDF">
        <w:trPr>
          <w:jc w:val="center"/>
        </w:trPr>
        <w:tc>
          <w:tcPr>
            <w:tcW w:w="3865" w:type="dxa"/>
            <w:shd w:val="clear" w:color="auto" w:fill="B8CCE4" w:themeFill="accent1" w:themeFillTint="66"/>
            <w:tcMar>
              <w:top w:w="29" w:type="dxa"/>
              <w:bottom w:w="29" w:type="dxa"/>
            </w:tcMar>
          </w:tcPr>
          <w:p w14:paraId="719E9165" w14:textId="156EEBF7" w:rsidR="000A1127" w:rsidRPr="001B0824" w:rsidRDefault="000A1127" w:rsidP="000A1127">
            <w:pPr>
              <w:pStyle w:val="Tableindent"/>
              <w:rPr>
                <w:rFonts w:asciiTheme="majorHAnsi" w:hAnsiTheme="majorHAnsi" w:cs="Arial"/>
                <w:sz w:val="22"/>
                <w:szCs w:val="22"/>
              </w:rPr>
            </w:pPr>
            <w:r w:rsidRPr="00141151">
              <w:rPr>
                <w:rFonts w:asciiTheme="majorHAnsi" w:hAnsiTheme="majorHAnsi" w:cs="Arial"/>
                <w:sz w:val="22"/>
                <w:szCs w:val="22"/>
              </w:rPr>
              <w:t>Faculty assess whether students are mastering learning outcomes and building skills across each program, in both arts and sciences and career/technical programs.</w:t>
            </w:r>
          </w:p>
        </w:tc>
        <w:tc>
          <w:tcPr>
            <w:tcW w:w="2340" w:type="dxa"/>
            <w:shd w:val="clear" w:color="auto" w:fill="DBE5F1" w:themeFill="accent1" w:themeFillTint="33"/>
            <w:tcMar>
              <w:top w:w="29" w:type="dxa"/>
              <w:bottom w:w="29" w:type="dxa"/>
            </w:tcMar>
          </w:tcPr>
          <w:p w14:paraId="449BEE5F" w14:textId="373367E2"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2D147F17"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7539572B"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324E5978"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62BABC71"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6EE1EC79" w14:textId="30DC19B0" w:rsidTr="00B44BDF">
        <w:trPr>
          <w:jc w:val="center"/>
        </w:trPr>
        <w:tc>
          <w:tcPr>
            <w:tcW w:w="3865" w:type="dxa"/>
            <w:shd w:val="clear" w:color="auto" w:fill="B8CCE4" w:themeFill="accent1" w:themeFillTint="66"/>
            <w:tcMar>
              <w:top w:w="29" w:type="dxa"/>
              <w:bottom w:w="29" w:type="dxa"/>
            </w:tcMar>
          </w:tcPr>
          <w:p w14:paraId="210BFAE5" w14:textId="37DD3EBA" w:rsidR="000A1127" w:rsidRPr="001B0824" w:rsidRDefault="000A1127" w:rsidP="000A1127">
            <w:pPr>
              <w:pStyle w:val="Tableindent"/>
              <w:rPr>
                <w:rFonts w:asciiTheme="majorHAnsi" w:hAnsiTheme="majorHAnsi" w:cs="Arial"/>
                <w:sz w:val="22"/>
                <w:szCs w:val="22"/>
              </w:rPr>
            </w:pPr>
            <w:r w:rsidRPr="007E77F8">
              <w:rPr>
                <w:rFonts w:asciiTheme="majorHAnsi" w:hAnsiTheme="majorHAnsi" w:cs="Arial"/>
                <w:sz w:val="22"/>
                <w:szCs w:val="22"/>
              </w:rPr>
              <w:t>Results of learning outcomes assessments are used to improve teaching and learning through program review, professional development, and other intentional campus efforts.</w:t>
            </w:r>
          </w:p>
        </w:tc>
        <w:tc>
          <w:tcPr>
            <w:tcW w:w="2340" w:type="dxa"/>
            <w:shd w:val="clear" w:color="auto" w:fill="DBE5F1" w:themeFill="accent1" w:themeFillTint="33"/>
            <w:tcMar>
              <w:top w:w="29" w:type="dxa"/>
              <w:bottom w:w="29" w:type="dxa"/>
            </w:tcMar>
          </w:tcPr>
          <w:p w14:paraId="1518E767" w14:textId="4A25262A"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777216CF"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19320FA2"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44E03040"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06D2383A"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7AFDA96A" w14:textId="49C3C0E4" w:rsidTr="00B44BDF">
        <w:trPr>
          <w:trHeight w:val="1635"/>
          <w:jc w:val="center"/>
        </w:trPr>
        <w:tc>
          <w:tcPr>
            <w:tcW w:w="3865" w:type="dxa"/>
            <w:shd w:val="clear" w:color="auto" w:fill="B8CCE4" w:themeFill="accent1" w:themeFillTint="66"/>
            <w:tcMar>
              <w:top w:w="29" w:type="dxa"/>
              <w:bottom w:w="29" w:type="dxa"/>
            </w:tcMar>
          </w:tcPr>
          <w:p w14:paraId="6C39BFBC" w14:textId="3D1609EC" w:rsidR="000A1127" w:rsidRPr="001B0824" w:rsidRDefault="000A1127" w:rsidP="000A1127">
            <w:pPr>
              <w:pStyle w:val="Tableindent"/>
              <w:rPr>
                <w:rFonts w:asciiTheme="majorHAnsi" w:hAnsiTheme="majorHAnsi" w:cs="Arial"/>
                <w:sz w:val="22"/>
                <w:szCs w:val="22"/>
              </w:rPr>
            </w:pPr>
            <w:r w:rsidRPr="00141151">
              <w:rPr>
                <w:rFonts w:asciiTheme="majorHAnsi" w:hAnsiTheme="majorHAnsi" w:cs="Arial"/>
                <w:sz w:val="22"/>
                <w:szCs w:val="22"/>
              </w:rPr>
              <w:lastRenderedPageBreak/>
              <w:t>The college helps students document their learning for employers and universities through portfolios and other means beyond transcripts.</w:t>
            </w:r>
          </w:p>
        </w:tc>
        <w:tc>
          <w:tcPr>
            <w:tcW w:w="2340" w:type="dxa"/>
            <w:shd w:val="clear" w:color="auto" w:fill="DBE5F1" w:themeFill="accent1" w:themeFillTint="33"/>
            <w:tcMar>
              <w:top w:w="29" w:type="dxa"/>
              <w:bottom w:w="29" w:type="dxa"/>
            </w:tcMar>
          </w:tcPr>
          <w:p w14:paraId="1CF83269" w14:textId="5570C617" w:rsidR="000A1127" w:rsidRPr="001B0824" w:rsidRDefault="000A1127" w:rsidP="000A1127">
            <w:pPr>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78B2B604" w14:textId="77777777" w:rsidR="000A1127" w:rsidRPr="001B0824" w:rsidRDefault="000A1127" w:rsidP="000A1127">
            <w:pPr>
              <w:pStyle w:val="Tbul1"/>
              <w:numPr>
                <w:ilvl w:val="0"/>
                <w:numId w:val="0"/>
              </w:numPr>
              <w:ind w:left="245"/>
              <w:rPr>
                <w:rFonts w:asciiTheme="majorHAnsi" w:hAnsiTheme="majorHAnsi"/>
              </w:rPr>
            </w:pPr>
          </w:p>
        </w:tc>
        <w:tc>
          <w:tcPr>
            <w:tcW w:w="2250" w:type="dxa"/>
            <w:gridSpan w:val="3"/>
            <w:shd w:val="clear" w:color="auto" w:fill="DBE5F1" w:themeFill="accent1" w:themeFillTint="33"/>
          </w:tcPr>
          <w:p w14:paraId="64D3CC5D" w14:textId="77777777" w:rsidR="000A1127" w:rsidRPr="001B0824" w:rsidRDefault="000A1127" w:rsidP="000A1127">
            <w:pPr>
              <w:pStyle w:val="ListParagraph"/>
              <w:ind w:left="360"/>
              <w:rPr>
                <w:rFonts w:asciiTheme="majorHAnsi" w:hAnsiTheme="majorHAnsi" w:cs="Arial"/>
                <w:sz w:val="22"/>
                <w:szCs w:val="22"/>
              </w:rPr>
            </w:pPr>
          </w:p>
        </w:tc>
        <w:tc>
          <w:tcPr>
            <w:tcW w:w="2156" w:type="dxa"/>
            <w:shd w:val="clear" w:color="auto" w:fill="DBE5F1" w:themeFill="accent1" w:themeFillTint="33"/>
          </w:tcPr>
          <w:p w14:paraId="2D45459C" w14:textId="77777777" w:rsidR="000A1127" w:rsidRPr="001B0824" w:rsidRDefault="000A1127" w:rsidP="000A1127">
            <w:pPr>
              <w:pStyle w:val="ListParagraph"/>
              <w:ind w:left="360"/>
              <w:rPr>
                <w:rFonts w:asciiTheme="majorHAnsi" w:hAnsiTheme="majorHAnsi" w:cs="Arial"/>
                <w:sz w:val="22"/>
                <w:szCs w:val="22"/>
              </w:rPr>
            </w:pPr>
          </w:p>
        </w:tc>
        <w:tc>
          <w:tcPr>
            <w:tcW w:w="2254" w:type="dxa"/>
            <w:shd w:val="clear" w:color="auto" w:fill="DBE5F1" w:themeFill="accent1" w:themeFillTint="33"/>
          </w:tcPr>
          <w:p w14:paraId="75CBD107" w14:textId="77777777" w:rsidR="000A1127" w:rsidRPr="001B0824" w:rsidRDefault="000A1127" w:rsidP="000A1127">
            <w:pPr>
              <w:pStyle w:val="ListParagraph"/>
              <w:ind w:left="360"/>
              <w:rPr>
                <w:rFonts w:asciiTheme="majorHAnsi" w:hAnsiTheme="majorHAnsi" w:cs="Arial"/>
                <w:sz w:val="22"/>
                <w:szCs w:val="22"/>
              </w:rPr>
            </w:pPr>
          </w:p>
        </w:tc>
      </w:tr>
      <w:tr w:rsidR="000A1127" w:rsidRPr="001B0824" w14:paraId="07BBCD6E" w14:textId="271EF075" w:rsidTr="00B44BDF">
        <w:trPr>
          <w:trHeight w:val="1635"/>
          <w:jc w:val="center"/>
        </w:trPr>
        <w:tc>
          <w:tcPr>
            <w:tcW w:w="3865" w:type="dxa"/>
            <w:shd w:val="clear" w:color="auto" w:fill="B8CCE4" w:themeFill="accent1" w:themeFillTint="66"/>
            <w:tcMar>
              <w:top w:w="29" w:type="dxa"/>
              <w:bottom w:w="29" w:type="dxa"/>
            </w:tcMar>
          </w:tcPr>
          <w:p w14:paraId="0DE08F6A" w14:textId="0E34AD0C" w:rsidR="000A1127" w:rsidRPr="00141151" w:rsidRDefault="000A1127" w:rsidP="000A1127">
            <w:pPr>
              <w:pStyle w:val="Tableindent"/>
              <w:rPr>
                <w:rFonts w:asciiTheme="majorHAnsi" w:hAnsiTheme="majorHAnsi" w:cs="Arial"/>
                <w:sz w:val="22"/>
                <w:szCs w:val="22"/>
              </w:rPr>
            </w:pPr>
            <w:r w:rsidRPr="00141151">
              <w:rPr>
                <w:rFonts w:asciiTheme="majorHAnsi" w:hAnsiTheme="majorHAnsi" w:cs="Arial"/>
                <w:sz w:val="22"/>
                <w:szCs w:val="22"/>
              </w:rPr>
              <w:t>The college assesses effectiveness of educational practice (e.g. using CCSSE or SENSE, etc.) and uses the results to create targeted professional development.</w:t>
            </w:r>
          </w:p>
        </w:tc>
        <w:tc>
          <w:tcPr>
            <w:tcW w:w="2340" w:type="dxa"/>
            <w:shd w:val="clear" w:color="auto" w:fill="DBE5F1" w:themeFill="accent1" w:themeFillTint="33"/>
            <w:tcMar>
              <w:top w:w="29" w:type="dxa"/>
              <w:bottom w:w="29" w:type="dxa"/>
            </w:tcMar>
          </w:tcPr>
          <w:p w14:paraId="7AEA969E" w14:textId="47DE2AB1" w:rsidR="000A1127" w:rsidRDefault="000A1127" w:rsidP="000A1127">
            <w:pPr>
              <w:tabs>
                <w:tab w:val="left" w:pos="576"/>
              </w:tabs>
              <w:spacing w:after="60"/>
              <w:rPr>
                <w:rFonts w:asciiTheme="majorHAnsi" w:hAnsiTheme="majorHAnsi" w:cs="Arial"/>
                <w:sz w:val="22"/>
                <w:szCs w:val="22"/>
              </w:rPr>
            </w:pPr>
          </w:p>
        </w:tc>
        <w:tc>
          <w:tcPr>
            <w:tcW w:w="2070" w:type="dxa"/>
            <w:shd w:val="clear" w:color="auto" w:fill="DBE5F1" w:themeFill="accent1" w:themeFillTint="33"/>
            <w:tcMar>
              <w:top w:w="29" w:type="dxa"/>
              <w:bottom w:w="29" w:type="dxa"/>
            </w:tcMar>
          </w:tcPr>
          <w:p w14:paraId="14A125AF" w14:textId="77777777" w:rsidR="000A1127" w:rsidRPr="001B0824" w:rsidRDefault="000A1127" w:rsidP="000A1127">
            <w:pPr>
              <w:rPr>
                <w:rFonts w:asciiTheme="majorHAnsi" w:hAnsiTheme="majorHAnsi" w:cs="Arial"/>
                <w:i/>
                <w:sz w:val="22"/>
                <w:szCs w:val="22"/>
              </w:rPr>
            </w:pPr>
          </w:p>
        </w:tc>
        <w:tc>
          <w:tcPr>
            <w:tcW w:w="2250" w:type="dxa"/>
            <w:gridSpan w:val="3"/>
            <w:shd w:val="clear" w:color="auto" w:fill="DBE5F1" w:themeFill="accent1" w:themeFillTint="33"/>
          </w:tcPr>
          <w:p w14:paraId="052F6ED6" w14:textId="77777777" w:rsidR="000A1127" w:rsidRPr="00141151" w:rsidRDefault="000A1127" w:rsidP="000A1127">
            <w:pPr>
              <w:pStyle w:val="ListParagraph"/>
              <w:ind w:left="360"/>
              <w:rPr>
                <w:rFonts w:asciiTheme="majorHAnsi" w:hAnsiTheme="majorHAnsi" w:cs="Arial"/>
                <w:i/>
                <w:sz w:val="22"/>
                <w:szCs w:val="22"/>
              </w:rPr>
            </w:pPr>
          </w:p>
        </w:tc>
        <w:tc>
          <w:tcPr>
            <w:tcW w:w="2156" w:type="dxa"/>
            <w:shd w:val="clear" w:color="auto" w:fill="DBE5F1" w:themeFill="accent1" w:themeFillTint="33"/>
          </w:tcPr>
          <w:p w14:paraId="0267B032" w14:textId="77777777" w:rsidR="000A1127" w:rsidRPr="00141151" w:rsidRDefault="000A1127" w:rsidP="000A1127">
            <w:pPr>
              <w:pStyle w:val="ListParagraph"/>
              <w:ind w:left="360"/>
              <w:rPr>
                <w:rFonts w:asciiTheme="majorHAnsi" w:hAnsiTheme="majorHAnsi" w:cs="Arial"/>
                <w:i/>
                <w:sz w:val="22"/>
                <w:szCs w:val="22"/>
              </w:rPr>
            </w:pPr>
          </w:p>
        </w:tc>
        <w:tc>
          <w:tcPr>
            <w:tcW w:w="2254" w:type="dxa"/>
            <w:shd w:val="clear" w:color="auto" w:fill="DBE5F1" w:themeFill="accent1" w:themeFillTint="33"/>
          </w:tcPr>
          <w:p w14:paraId="68FB762B" w14:textId="77777777" w:rsidR="000A1127" w:rsidRPr="00141151" w:rsidRDefault="000A1127" w:rsidP="000A1127">
            <w:pPr>
              <w:pStyle w:val="ListParagraph"/>
              <w:ind w:left="360"/>
              <w:rPr>
                <w:rFonts w:asciiTheme="majorHAnsi" w:hAnsiTheme="majorHAnsi" w:cs="Arial"/>
                <w:i/>
                <w:sz w:val="22"/>
                <w:szCs w:val="22"/>
              </w:rPr>
            </w:pPr>
          </w:p>
        </w:tc>
      </w:tr>
    </w:tbl>
    <w:p w14:paraId="70595259" w14:textId="77777777" w:rsidR="00210C7C" w:rsidRDefault="00210C7C"/>
    <w:sectPr w:rsidR="00210C7C" w:rsidSect="00EA073F">
      <w:headerReference w:type="first" r:id="rId7"/>
      <w:footerReference w:type="first" r:id="rId8"/>
      <w:type w:val="continuous"/>
      <w:pgSz w:w="15840" w:h="12240" w:orient="landscape"/>
      <w:pgMar w:top="1008" w:right="720" w:bottom="1080" w:left="720"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896C9" w14:textId="77777777" w:rsidR="00F72F5B" w:rsidRDefault="00F72F5B" w:rsidP="006B1068">
      <w:r>
        <w:separator/>
      </w:r>
    </w:p>
  </w:endnote>
  <w:endnote w:type="continuationSeparator" w:id="0">
    <w:p w14:paraId="54A06EA2" w14:textId="77777777" w:rsidR="00F72F5B" w:rsidRDefault="00F72F5B" w:rsidP="006B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EA073F" w14:paraId="63AEEAA3" w14:textId="77777777" w:rsidTr="00EA073F">
      <w:tc>
        <w:tcPr>
          <w:tcW w:w="7195" w:type="dxa"/>
        </w:tcPr>
        <w:sdt>
          <w:sdtPr>
            <w:id w:val="1495834591"/>
            <w:docPartObj>
              <w:docPartGallery w:val="Page Numbers (Bottom of Page)"/>
              <w:docPartUnique/>
            </w:docPartObj>
          </w:sdtPr>
          <w:sdtEndPr>
            <w:rPr>
              <w:noProof/>
            </w:rPr>
          </w:sdtEndPr>
          <w:sdtContent>
            <w:p w14:paraId="7F786408" w14:textId="77777777" w:rsidR="00F77E60" w:rsidRDefault="00EA073F" w:rsidP="00F77E60">
              <w:pPr>
                <w:pStyle w:val="Footer"/>
                <w:tabs>
                  <w:tab w:val="center" w:pos="4680"/>
                  <w:tab w:val="right" w:pos="9360"/>
                </w:tabs>
                <w:jc w:val="center"/>
                <w:rPr>
                  <w:i/>
                  <w:sz w:val="20"/>
                </w:rPr>
              </w:pPr>
              <w:r w:rsidRPr="00B14FA9">
                <w:rPr>
                  <w:i/>
                  <w:sz w:val="20"/>
                </w:rPr>
                <w:t>This template was created by the</w:t>
              </w:r>
              <w:r w:rsidR="00F77E60">
                <w:rPr>
                  <w:i/>
                  <w:sz w:val="20"/>
                </w:rPr>
                <w:t xml:space="preserve"> </w:t>
              </w:r>
              <w:r w:rsidRPr="00B14FA9">
                <w:rPr>
                  <w:i/>
                  <w:sz w:val="20"/>
                </w:rPr>
                <w:t xml:space="preserve">Community College Research Center (CCRC) </w:t>
              </w:r>
            </w:p>
            <w:p w14:paraId="15BA8503" w14:textId="72DC10AB" w:rsidR="00EA073F" w:rsidRPr="00F77E60" w:rsidRDefault="00EA073F" w:rsidP="00F77E60">
              <w:pPr>
                <w:pStyle w:val="Footer"/>
                <w:tabs>
                  <w:tab w:val="center" w:pos="4680"/>
                  <w:tab w:val="right" w:pos="9360"/>
                </w:tabs>
                <w:jc w:val="center"/>
                <w:rPr>
                  <w:i/>
                  <w:sz w:val="20"/>
                </w:rPr>
              </w:pPr>
              <w:r w:rsidRPr="00B14FA9">
                <w:rPr>
                  <w:i/>
                  <w:sz w:val="20"/>
                </w:rPr>
                <w:t>for use by the JFF Student Success Center Network.</w:t>
              </w:r>
            </w:p>
          </w:sdtContent>
        </w:sdt>
      </w:tc>
      <w:tc>
        <w:tcPr>
          <w:tcW w:w="7195" w:type="dxa"/>
        </w:tcPr>
        <w:p w14:paraId="2F8D8833" w14:textId="486C4E73" w:rsidR="00EA073F" w:rsidRDefault="00EA073F" w:rsidP="00311EEC">
          <w:pPr>
            <w:pStyle w:val="Footer"/>
            <w:jc w:val="right"/>
          </w:pPr>
          <w:r>
            <w:rPr>
              <w:noProof/>
            </w:rPr>
            <w:drawing>
              <wp:inline distT="0" distB="0" distL="0" distR="0" wp14:anchorId="7E0A6671" wp14:editId="700906FE">
                <wp:extent cx="2079577" cy="297495"/>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FF_NewLogo_Horizontal-blue.eps"/>
                        <pic:cNvPicPr/>
                      </pic:nvPicPr>
                      <pic:blipFill>
                        <a:blip r:embed="rId1">
                          <a:extLst>
                            <a:ext uri="{28A0092B-C50C-407E-A947-70E740481C1C}">
                              <a14:useLocalDpi xmlns:a14="http://schemas.microsoft.com/office/drawing/2010/main" val="0"/>
                            </a:ext>
                          </a:extLst>
                        </a:blip>
                        <a:stretch>
                          <a:fillRect/>
                        </a:stretch>
                      </pic:blipFill>
                      <pic:spPr>
                        <a:xfrm>
                          <a:off x="0" y="0"/>
                          <a:ext cx="2237172" cy="320040"/>
                        </a:xfrm>
                        <a:prstGeom prst="rect">
                          <a:avLst/>
                        </a:prstGeom>
                      </pic:spPr>
                    </pic:pic>
                  </a:graphicData>
                </a:graphic>
              </wp:inline>
            </w:drawing>
          </w:r>
        </w:p>
      </w:tc>
    </w:tr>
  </w:tbl>
  <w:p w14:paraId="1307AA29" w14:textId="35CBBB90" w:rsidR="00CC2E55" w:rsidRDefault="00CC2E55" w:rsidP="00F77E60">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E5348" w14:textId="77777777" w:rsidR="00F72F5B" w:rsidRDefault="00F72F5B" w:rsidP="006B1068">
      <w:bookmarkStart w:id="0" w:name="_Hlk481666542"/>
      <w:bookmarkEnd w:id="0"/>
      <w:r>
        <w:separator/>
      </w:r>
    </w:p>
  </w:footnote>
  <w:footnote w:type="continuationSeparator" w:id="0">
    <w:p w14:paraId="5619C7DB" w14:textId="77777777" w:rsidR="00F72F5B" w:rsidRDefault="00F72F5B" w:rsidP="006B1068">
      <w:r>
        <w:continuationSeparator/>
      </w:r>
    </w:p>
  </w:footnote>
  <w:footnote w:id="1">
    <w:p w14:paraId="0204296A" w14:textId="444C0093" w:rsidR="00324D8C" w:rsidRPr="00716AB3" w:rsidRDefault="00324D8C" w:rsidP="00324D8C">
      <w:pPr>
        <w:pStyle w:val="FootnoteText"/>
      </w:pPr>
      <w:r w:rsidRPr="00EA073F">
        <w:rPr>
          <w:rStyle w:val="FootnoteReference"/>
          <w:sz w:val="18"/>
        </w:rPr>
        <w:t>*</w:t>
      </w:r>
      <w:r w:rsidRPr="00EA073F">
        <w:rPr>
          <w:sz w:val="18"/>
        </w:rPr>
        <w:t xml:space="preserve"> See Thomas Bailey, Shanna </w:t>
      </w:r>
      <w:proofErr w:type="spellStart"/>
      <w:r w:rsidRPr="00EA073F">
        <w:rPr>
          <w:sz w:val="18"/>
        </w:rPr>
        <w:t>Jaggars</w:t>
      </w:r>
      <w:proofErr w:type="spellEnd"/>
      <w:r w:rsidRPr="00EA073F">
        <w:rPr>
          <w:sz w:val="18"/>
        </w:rPr>
        <w:t xml:space="preserve"> and Davis Jenkins, </w:t>
      </w:r>
      <w:r w:rsidRPr="00EA073F">
        <w:rPr>
          <w:i/>
          <w:sz w:val="18"/>
        </w:rPr>
        <w:t>Redesigning America’s Community Colleges: A Clearer Path to Student Success</w:t>
      </w:r>
      <w:r w:rsidRPr="00EA073F">
        <w:rPr>
          <w:sz w:val="18"/>
        </w:rPr>
        <w:t>, Harvard University Press, 201</w:t>
      </w:r>
      <w:r w:rsidR="00EA073F">
        <w:rPr>
          <w:sz w:val="18"/>
        </w:rPr>
        <w:t>5</w:t>
      </w:r>
      <w:r w:rsidRPr="00EA073F">
        <w:rPr>
          <w:sz w:val="18"/>
        </w:rPr>
        <w:t xml:space="preserve">. Also see “What We Know About Guided Pathways” on CCRC’s website: </w:t>
      </w:r>
      <w:hyperlink r:id="rId1" w:history="1">
        <w:r w:rsidRPr="00EA073F">
          <w:rPr>
            <w:rStyle w:val="Hyperlink"/>
            <w:sz w:val="18"/>
          </w:rPr>
          <w:t>http://ccrc.tc.columbia.edu/publications/what-we-know-about-guided-pathways-packet.html</w:t>
        </w:r>
      </w:hyperlink>
      <w:r w:rsidRPr="00EA073F">
        <w:rPr>
          <w:sz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7"/>
      <w:gridCol w:w="4796"/>
    </w:tblGrid>
    <w:tr w:rsidR="007F0F7C" w14:paraId="22611BCB" w14:textId="581C4620" w:rsidTr="007F0F7C">
      <w:trPr>
        <w:jc w:val="center"/>
      </w:trPr>
      <w:tc>
        <w:tcPr>
          <w:tcW w:w="4797" w:type="dxa"/>
        </w:tcPr>
        <w:p w14:paraId="6F818580" w14:textId="321470AD" w:rsidR="007F0F7C" w:rsidRDefault="007F0F7C" w:rsidP="00B519AE">
          <w:pPr>
            <w:pStyle w:val="Header"/>
          </w:pPr>
          <w:r>
            <w:rPr>
              <w:noProof/>
            </w:rPr>
            <w:drawing>
              <wp:inline distT="0" distB="0" distL="0" distR="0" wp14:anchorId="55336BAC" wp14:editId="30B6829F">
                <wp:extent cx="27432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N logo horizontal.eps"/>
                        <pic:cNvPicPr/>
                      </pic:nvPicPr>
                      <pic:blipFill>
                        <a:blip r:embed="rId1">
                          <a:extLst>
                            <a:ext uri="{28A0092B-C50C-407E-A947-70E740481C1C}">
                              <a14:useLocalDpi xmlns:a14="http://schemas.microsoft.com/office/drawing/2010/main" val="0"/>
                            </a:ext>
                          </a:extLst>
                        </a:blip>
                        <a:stretch>
                          <a:fillRect/>
                        </a:stretch>
                      </pic:blipFill>
                      <pic:spPr>
                        <a:xfrm>
                          <a:off x="0" y="0"/>
                          <a:ext cx="2743200" cy="381000"/>
                        </a:xfrm>
                        <a:prstGeom prst="rect">
                          <a:avLst/>
                        </a:prstGeom>
                      </pic:spPr>
                    </pic:pic>
                  </a:graphicData>
                </a:graphic>
              </wp:inline>
            </w:drawing>
          </w:r>
        </w:p>
      </w:tc>
      <w:tc>
        <w:tcPr>
          <w:tcW w:w="4797" w:type="dxa"/>
          <w:vAlign w:val="center"/>
        </w:tcPr>
        <w:p w14:paraId="56EB77D5" w14:textId="0274066E" w:rsidR="007F0F7C" w:rsidRDefault="007F0F7C" w:rsidP="004942D3">
          <w:pPr>
            <w:pStyle w:val="Header"/>
            <w:jc w:val="center"/>
          </w:pPr>
          <w:r>
            <w:t>[State Student Success Center logo]</w:t>
          </w:r>
        </w:p>
      </w:tc>
      <w:tc>
        <w:tcPr>
          <w:tcW w:w="4796" w:type="dxa"/>
        </w:tcPr>
        <w:p w14:paraId="4FBB0EF8" w14:textId="563A15A9" w:rsidR="007F0F7C" w:rsidRDefault="007F0F7C" w:rsidP="004942D3">
          <w:pPr>
            <w:pStyle w:val="Header"/>
            <w:jc w:val="center"/>
          </w:pPr>
          <w:r>
            <w:rPr>
              <w:noProof/>
            </w:rPr>
            <w:drawing>
              <wp:inline distT="0" distB="0" distL="0" distR="0" wp14:anchorId="0D5DDEDF" wp14:editId="653BC8C2">
                <wp:extent cx="2150931" cy="449107"/>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078" cy="459369"/>
                        </a:xfrm>
                        <a:prstGeom prst="rect">
                          <a:avLst/>
                        </a:prstGeom>
                        <a:noFill/>
                      </pic:spPr>
                    </pic:pic>
                  </a:graphicData>
                </a:graphic>
              </wp:inline>
            </w:drawing>
          </w:r>
        </w:p>
      </w:tc>
    </w:tr>
  </w:tbl>
  <w:p w14:paraId="65893C15" w14:textId="49B23556" w:rsidR="007D6A63" w:rsidRDefault="007D6A63" w:rsidP="00B519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201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0E58B8"/>
    <w:multiLevelType w:val="hybridMultilevel"/>
    <w:tmpl w:val="8C1CABA8"/>
    <w:lvl w:ilvl="0" w:tplc="1702F408">
      <w:start w:val="1"/>
      <w:numFmt w:val="lowerLetter"/>
      <w:pStyle w:val="Tableindent"/>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A1048"/>
    <w:multiLevelType w:val="hybridMultilevel"/>
    <w:tmpl w:val="BB7A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D60C8D"/>
    <w:multiLevelType w:val="hybridMultilevel"/>
    <w:tmpl w:val="48D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176DC7"/>
    <w:multiLevelType w:val="hybridMultilevel"/>
    <w:tmpl w:val="70226AB8"/>
    <w:lvl w:ilvl="0" w:tplc="6B401462">
      <w:start w:val="1"/>
      <w:numFmt w:val="lowerLetter"/>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065B8"/>
    <w:multiLevelType w:val="hybridMultilevel"/>
    <w:tmpl w:val="6340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C03C4"/>
    <w:multiLevelType w:val="hybridMultilevel"/>
    <w:tmpl w:val="33DA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0B0D86"/>
    <w:multiLevelType w:val="hybridMultilevel"/>
    <w:tmpl w:val="1066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9">
    <w:nsid w:val="7913309C"/>
    <w:multiLevelType w:val="hybridMultilevel"/>
    <w:tmpl w:val="6000615C"/>
    <w:lvl w:ilvl="0" w:tplc="6AD021B2">
      <w:start w:val="1"/>
      <w:numFmt w:val="bullet"/>
      <w:pStyle w:val="Table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71820"/>
    <w:multiLevelType w:val="hybridMultilevel"/>
    <w:tmpl w:val="5FDE3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0"/>
  </w:num>
  <w:num w:numId="7">
    <w:abstractNumId w:val="3"/>
  </w:num>
  <w:num w:numId="8">
    <w:abstractNumId w:val="9"/>
  </w:num>
  <w:num w:numId="9">
    <w:abstractNumId w:val="2"/>
  </w:num>
  <w:num w:numId="10">
    <w:abstractNumId w:val="6"/>
  </w:num>
  <w:num w:numId="11">
    <w:abstractNumId w:val="7"/>
  </w:num>
  <w:num w:numId="12">
    <w:abstractNumId w:val="1"/>
    <w:lvlOverride w:ilvl="0">
      <w:startOverride w:val="1"/>
    </w:lvlOverride>
  </w:num>
  <w:num w:numId="13">
    <w:abstractNumId w:val="4"/>
  </w:num>
  <w:num w:numId="14">
    <w:abstractNumId w:val="4"/>
    <w:lvlOverride w:ilvl="0">
      <w:startOverride w:val="1"/>
    </w:lvlOverride>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68"/>
    <w:rsid w:val="00021784"/>
    <w:rsid w:val="00057626"/>
    <w:rsid w:val="00064EB7"/>
    <w:rsid w:val="00091AFB"/>
    <w:rsid w:val="000A1127"/>
    <w:rsid w:val="000B415B"/>
    <w:rsid w:val="000C6EDD"/>
    <w:rsid w:val="000D3369"/>
    <w:rsid w:val="000F617A"/>
    <w:rsid w:val="001120F1"/>
    <w:rsid w:val="00121A44"/>
    <w:rsid w:val="00132DED"/>
    <w:rsid w:val="00132E5A"/>
    <w:rsid w:val="0013476E"/>
    <w:rsid w:val="001401B6"/>
    <w:rsid w:val="00141151"/>
    <w:rsid w:val="001573C2"/>
    <w:rsid w:val="001740ED"/>
    <w:rsid w:val="0018466A"/>
    <w:rsid w:val="00197A87"/>
    <w:rsid w:val="001A18E0"/>
    <w:rsid w:val="001B0824"/>
    <w:rsid w:val="001C05F4"/>
    <w:rsid w:val="001C6439"/>
    <w:rsid w:val="001E46FC"/>
    <w:rsid w:val="00200195"/>
    <w:rsid w:val="00210C7C"/>
    <w:rsid w:val="00212921"/>
    <w:rsid w:val="00215ABD"/>
    <w:rsid w:val="00230A80"/>
    <w:rsid w:val="00234042"/>
    <w:rsid w:val="00234BD9"/>
    <w:rsid w:val="00237695"/>
    <w:rsid w:val="00256FDC"/>
    <w:rsid w:val="002A20A3"/>
    <w:rsid w:val="002B01F5"/>
    <w:rsid w:val="002C6EB3"/>
    <w:rsid w:val="002C7E7E"/>
    <w:rsid w:val="002E3537"/>
    <w:rsid w:val="002E71F0"/>
    <w:rsid w:val="003072A2"/>
    <w:rsid w:val="00311EEC"/>
    <w:rsid w:val="0031419A"/>
    <w:rsid w:val="00324D8C"/>
    <w:rsid w:val="00335225"/>
    <w:rsid w:val="00350BF5"/>
    <w:rsid w:val="00372222"/>
    <w:rsid w:val="003A366E"/>
    <w:rsid w:val="003B628A"/>
    <w:rsid w:val="003D36BE"/>
    <w:rsid w:val="00430490"/>
    <w:rsid w:val="0045041E"/>
    <w:rsid w:val="00450EF5"/>
    <w:rsid w:val="00463BDA"/>
    <w:rsid w:val="00464B33"/>
    <w:rsid w:val="00466F05"/>
    <w:rsid w:val="004942D3"/>
    <w:rsid w:val="004A0B8A"/>
    <w:rsid w:val="004A4A67"/>
    <w:rsid w:val="004A5724"/>
    <w:rsid w:val="004C03CF"/>
    <w:rsid w:val="004C10C1"/>
    <w:rsid w:val="004E59CD"/>
    <w:rsid w:val="004E623A"/>
    <w:rsid w:val="004F39DC"/>
    <w:rsid w:val="004F3FD4"/>
    <w:rsid w:val="0050480E"/>
    <w:rsid w:val="00507443"/>
    <w:rsid w:val="00520373"/>
    <w:rsid w:val="00554E94"/>
    <w:rsid w:val="00591D12"/>
    <w:rsid w:val="00594630"/>
    <w:rsid w:val="005B32FE"/>
    <w:rsid w:val="005B3DD9"/>
    <w:rsid w:val="005B4079"/>
    <w:rsid w:val="005C2509"/>
    <w:rsid w:val="005D32F6"/>
    <w:rsid w:val="005D5F75"/>
    <w:rsid w:val="005E3F80"/>
    <w:rsid w:val="005E77BD"/>
    <w:rsid w:val="0061567A"/>
    <w:rsid w:val="00620A92"/>
    <w:rsid w:val="0062144A"/>
    <w:rsid w:val="006633A6"/>
    <w:rsid w:val="0068144B"/>
    <w:rsid w:val="00684700"/>
    <w:rsid w:val="006A588C"/>
    <w:rsid w:val="006A7E44"/>
    <w:rsid w:val="006B1068"/>
    <w:rsid w:val="006D47CB"/>
    <w:rsid w:val="00700F15"/>
    <w:rsid w:val="0073702D"/>
    <w:rsid w:val="00741313"/>
    <w:rsid w:val="00743A53"/>
    <w:rsid w:val="007566D7"/>
    <w:rsid w:val="00776459"/>
    <w:rsid w:val="00776B03"/>
    <w:rsid w:val="007C3616"/>
    <w:rsid w:val="007D3FD7"/>
    <w:rsid w:val="007D6A63"/>
    <w:rsid w:val="007E73EC"/>
    <w:rsid w:val="007E77F8"/>
    <w:rsid w:val="007F0F7C"/>
    <w:rsid w:val="007F3D87"/>
    <w:rsid w:val="007F7AF4"/>
    <w:rsid w:val="0083218A"/>
    <w:rsid w:val="00850BC7"/>
    <w:rsid w:val="00857A29"/>
    <w:rsid w:val="00861EDC"/>
    <w:rsid w:val="00873236"/>
    <w:rsid w:val="008833B5"/>
    <w:rsid w:val="00890AFF"/>
    <w:rsid w:val="008B44BF"/>
    <w:rsid w:val="008C0428"/>
    <w:rsid w:val="008C112B"/>
    <w:rsid w:val="008C2DCF"/>
    <w:rsid w:val="008D089B"/>
    <w:rsid w:val="008D31FF"/>
    <w:rsid w:val="008D5611"/>
    <w:rsid w:val="00913DCC"/>
    <w:rsid w:val="0093100D"/>
    <w:rsid w:val="00944D8F"/>
    <w:rsid w:val="009C4B86"/>
    <w:rsid w:val="009C4FB3"/>
    <w:rsid w:val="009D428A"/>
    <w:rsid w:val="00A41056"/>
    <w:rsid w:val="00A454A2"/>
    <w:rsid w:val="00A64966"/>
    <w:rsid w:val="00A77838"/>
    <w:rsid w:val="00A81D45"/>
    <w:rsid w:val="00A87041"/>
    <w:rsid w:val="00AD07C0"/>
    <w:rsid w:val="00AF2968"/>
    <w:rsid w:val="00B00C0C"/>
    <w:rsid w:val="00B2163F"/>
    <w:rsid w:val="00B44BDF"/>
    <w:rsid w:val="00B519AE"/>
    <w:rsid w:val="00B52D24"/>
    <w:rsid w:val="00B54B2E"/>
    <w:rsid w:val="00B753F2"/>
    <w:rsid w:val="00B836F3"/>
    <w:rsid w:val="00B853D5"/>
    <w:rsid w:val="00BA2C08"/>
    <w:rsid w:val="00BA30D0"/>
    <w:rsid w:val="00BF4646"/>
    <w:rsid w:val="00C11C66"/>
    <w:rsid w:val="00C13E3E"/>
    <w:rsid w:val="00C17E9D"/>
    <w:rsid w:val="00C53C35"/>
    <w:rsid w:val="00C761F6"/>
    <w:rsid w:val="00CB66F7"/>
    <w:rsid w:val="00CC2E55"/>
    <w:rsid w:val="00CE6B84"/>
    <w:rsid w:val="00CF2EE6"/>
    <w:rsid w:val="00CF4930"/>
    <w:rsid w:val="00CF52DB"/>
    <w:rsid w:val="00D111FC"/>
    <w:rsid w:val="00D15C6F"/>
    <w:rsid w:val="00D177D5"/>
    <w:rsid w:val="00D268E8"/>
    <w:rsid w:val="00D26AF0"/>
    <w:rsid w:val="00D43534"/>
    <w:rsid w:val="00D54110"/>
    <w:rsid w:val="00D60EC7"/>
    <w:rsid w:val="00D94E3E"/>
    <w:rsid w:val="00D96B40"/>
    <w:rsid w:val="00DC2BC9"/>
    <w:rsid w:val="00DC6846"/>
    <w:rsid w:val="00E26206"/>
    <w:rsid w:val="00E40ED3"/>
    <w:rsid w:val="00E46460"/>
    <w:rsid w:val="00E57B2B"/>
    <w:rsid w:val="00E6716C"/>
    <w:rsid w:val="00E71806"/>
    <w:rsid w:val="00E86AAE"/>
    <w:rsid w:val="00EA033D"/>
    <w:rsid w:val="00EA073F"/>
    <w:rsid w:val="00EA6F51"/>
    <w:rsid w:val="00EB6E6A"/>
    <w:rsid w:val="00EB6F53"/>
    <w:rsid w:val="00EB78CC"/>
    <w:rsid w:val="00EF25A2"/>
    <w:rsid w:val="00EF3478"/>
    <w:rsid w:val="00EF6A76"/>
    <w:rsid w:val="00F05ED0"/>
    <w:rsid w:val="00F614A0"/>
    <w:rsid w:val="00F67011"/>
    <w:rsid w:val="00F72F5B"/>
    <w:rsid w:val="00F77E60"/>
    <w:rsid w:val="00F81E08"/>
    <w:rsid w:val="00FA1405"/>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23F1F"/>
  <w14:defaultImageDpi w14:val="300"/>
  <w15:docId w15:val="{50D7EF4B-4AA0-484C-943A-E9BCC2D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1068"/>
  </w:style>
  <w:style w:type="paragraph" w:styleId="Heading1">
    <w:name w:val="heading 1"/>
    <w:basedOn w:val="Normal"/>
    <w:next w:val="Normal"/>
    <w:link w:val="Heading1Char"/>
    <w:uiPriority w:val="9"/>
    <w:qFormat/>
    <w:rsid w:val="004942D3"/>
    <w:pPr>
      <w:keepNext/>
      <w:keepLines/>
      <w:spacing w:before="240"/>
      <w:outlineLvl w:val="0"/>
    </w:pPr>
    <w:rPr>
      <w:rFonts w:asciiTheme="majorHAnsi" w:eastAsiaTheme="majorEastAsia" w:hAnsiTheme="majorHAnsi" w:cstheme="majorBidi"/>
      <w:b/>
      <w:color w:val="3266A5"/>
      <w:sz w:val="28"/>
      <w:szCs w:val="28"/>
    </w:rPr>
  </w:style>
  <w:style w:type="paragraph" w:styleId="Heading2">
    <w:name w:val="heading 2"/>
    <w:basedOn w:val="Normal"/>
    <w:next w:val="Normal"/>
    <w:link w:val="Heading2Char"/>
    <w:autoRedefine/>
    <w:qFormat/>
    <w:rsid w:val="00091AFB"/>
    <w:pPr>
      <w:outlineLvl w:val="1"/>
    </w:pPr>
    <w:rPr>
      <w:b/>
    </w:rPr>
  </w:style>
  <w:style w:type="paragraph" w:styleId="Heading3">
    <w:name w:val="heading 3"/>
    <w:basedOn w:val="Normal"/>
    <w:next w:val="Normal"/>
    <w:link w:val="Heading3Char"/>
    <w:autoRedefine/>
    <w:uiPriority w:val="9"/>
    <w:unhideWhenUsed/>
    <w:qFormat/>
    <w:rsid w:val="004942D3"/>
    <w:pPr>
      <w:ind w:firstLine="720"/>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42D3"/>
    <w:rPr>
      <w:rFonts w:asciiTheme="majorHAnsi" w:eastAsiaTheme="majorEastAsia" w:hAnsiTheme="majorHAnsi"/>
      <w:b/>
      <w:bCs/>
    </w:rPr>
  </w:style>
  <w:style w:type="character" w:customStyle="1" w:styleId="Heading2Char">
    <w:name w:val="Heading 2 Char"/>
    <w:basedOn w:val="DefaultParagraphFont"/>
    <w:link w:val="Heading2"/>
    <w:rsid w:val="00091AFB"/>
    <w:rPr>
      <w:rFonts w:ascii="Times New Roman" w:hAnsi="Times New Roman"/>
      <w:b/>
    </w:rPr>
  </w:style>
  <w:style w:type="table" w:styleId="TableGrid">
    <w:name w:val="Table Grid"/>
    <w:basedOn w:val="TableNormal"/>
    <w:uiPriority w:val="59"/>
    <w:rsid w:val="006B1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1068"/>
    <w:rPr>
      <w:rFonts w:eastAsiaTheme="minorHAnsi"/>
      <w:sz w:val="22"/>
      <w:szCs w:val="22"/>
    </w:rPr>
  </w:style>
  <w:style w:type="paragraph" w:styleId="ListParagraph">
    <w:name w:val="List Paragraph"/>
    <w:basedOn w:val="Normal"/>
    <w:uiPriority w:val="34"/>
    <w:qFormat/>
    <w:rsid w:val="006B1068"/>
    <w:pPr>
      <w:ind w:left="720"/>
      <w:contextualSpacing/>
    </w:pPr>
  </w:style>
  <w:style w:type="paragraph" w:customStyle="1" w:styleId="Table">
    <w:name w:val="Table #."/>
    <w:basedOn w:val="ListParagraph"/>
    <w:qFormat/>
    <w:rsid w:val="006B1068"/>
    <w:pPr>
      <w:numPr>
        <w:numId w:val="1"/>
      </w:numPr>
      <w:spacing w:after="120"/>
      <w:ind w:left="274" w:hanging="274"/>
    </w:pPr>
    <w:rPr>
      <w:rFonts w:ascii="Calibri" w:hAnsi="Calibri"/>
      <w:b/>
      <w:caps/>
    </w:rPr>
  </w:style>
  <w:style w:type="paragraph" w:customStyle="1" w:styleId="Tableindent">
    <w:name w:val="Table indent"/>
    <w:basedOn w:val="ListParagraph"/>
    <w:qFormat/>
    <w:rsid w:val="006B1068"/>
    <w:pPr>
      <w:numPr>
        <w:numId w:val="2"/>
      </w:numPr>
    </w:pPr>
    <w:rPr>
      <w:rFonts w:ascii="Calibri" w:hAnsi="Calibri"/>
    </w:rPr>
  </w:style>
  <w:style w:type="paragraph" w:styleId="Header">
    <w:name w:val="header"/>
    <w:basedOn w:val="Normal"/>
    <w:link w:val="HeaderChar"/>
    <w:uiPriority w:val="99"/>
    <w:unhideWhenUsed/>
    <w:rsid w:val="006B1068"/>
    <w:pPr>
      <w:tabs>
        <w:tab w:val="center" w:pos="4320"/>
        <w:tab w:val="right" w:pos="8640"/>
      </w:tabs>
    </w:pPr>
  </w:style>
  <w:style w:type="character" w:customStyle="1" w:styleId="HeaderChar">
    <w:name w:val="Header Char"/>
    <w:basedOn w:val="DefaultParagraphFont"/>
    <w:link w:val="Header"/>
    <w:uiPriority w:val="99"/>
    <w:rsid w:val="006B1068"/>
  </w:style>
  <w:style w:type="paragraph" w:styleId="Footer">
    <w:name w:val="footer"/>
    <w:basedOn w:val="Normal"/>
    <w:link w:val="FooterChar"/>
    <w:uiPriority w:val="99"/>
    <w:unhideWhenUsed/>
    <w:rsid w:val="006B1068"/>
    <w:pPr>
      <w:tabs>
        <w:tab w:val="center" w:pos="4320"/>
        <w:tab w:val="right" w:pos="8640"/>
      </w:tabs>
    </w:pPr>
  </w:style>
  <w:style w:type="character" w:customStyle="1" w:styleId="FooterChar">
    <w:name w:val="Footer Char"/>
    <w:basedOn w:val="DefaultParagraphFont"/>
    <w:link w:val="Footer"/>
    <w:uiPriority w:val="99"/>
    <w:rsid w:val="006B1068"/>
  </w:style>
  <w:style w:type="paragraph" w:styleId="BalloonText">
    <w:name w:val="Balloon Text"/>
    <w:basedOn w:val="Normal"/>
    <w:link w:val="BalloonTextChar"/>
    <w:uiPriority w:val="99"/>
    <w:semiHidden/>
    <w:unhideWhenUsed/>
    <w:rsid w:val="006B1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068"/>
    <w:rPr>
      <w:rFonts w:ascii="Lucida Grande" w:hAnsi="Lucida Grande" w:cs="Lucida Grande"/>
      <w:sz w:val="18"/>
      <w:szCs w:val="18"/>
    </w:rPr>
  </w:style>
  <w:style w:type="character" w:styleId="Hyperlink">
    <w:name w:val="Hyperlink"/>
    <w:basedOn w:val="DefaultParagraphFont"/>
    <w:uiPriority w:val="99"/>
    <w:unhideWhenUsed/>
    <w:rsid w:val="006B1068"/>
    <w:rPr>
      <w:color w:val="0000FF" w:themeColor="hyperlink"/>
      <w:u w:val="single"/>
    </w:rPr>
  </w:style>
  <w:style w:type="character" w:styleId="PageNumber">
    <w:name w:val="page number"/>
    <w:basedOn w:val="DefaultParagraphFont"/>
    <w:uiPriority w:val="99"/>
    <w:semiHidden/>
    <w:unhideWhenUsed/>
    <w:rsid w:val="006B1068"/>
  </w:style>
  <w:style w:type="character" w:styleId="CommentReference">
    <w:name w:val="annotation reference"/>
    <w:basedOn w:val="DefaultParagraphFont"/>
    <w:uiPriority w:val="99"/>
    <w:semiHidden/>
    <w:unhideWhenUsed/>
    <w:rsid w:val="001740ED"/>
    <w:rPr>
      <w:sz w:val="16"/>
      <w:szCs w:val="16"/>
    </w:rPr>
  </w:style>
  <w:style w:type="paragraph" w:styleId="CommentText">
    <w:name w:val="annotation text"/>
    <w:basedOn w:val="Normal"/>
    <w:link w:val="CommentTextChar"/>
    <w:uiPriority w:val="99"/>
    <w:semiHidden/>
    <w:unhideWhenUsed/>
    <w:rsid w:val="001740ED"/>
    <w:rPr>
      <w:sz w:val="20"/>
      <w:szCs w:val="20"/>
    </w:rPr>
  </w:style>
  <w:style w:type="character" w:customStyle="1" w:styleId="CommentTextChar">
    <w:name w:val="Comment Text Char"/>
    <w:basedOn w:val="DefaultParagraphFont"/>
    <w:link w:val="CommentText"/>
    <w:uiPriority w:val="99"/>
    <w:semiHidden/>
    <w:rsid w:val="001740ED"/>
    <w:rPr>
      <w:sz w:val="20"/>
      <w:szCs w:val="20"/>
    </w:rPr>
  </w:style>
  <w:style w:type="paragraph" w:styleId="CommentSubject">
    <w:name w:val="annotation subject"/>
    <w:basedOn w:val="CommentText"/>
    <w:next w:val="CommentText"/>
    <w:link w:val="CommentSubjectChar"/>
    <w:uiPriority w:val="99"/>
    <w:semiHidden/>
    <w:unhideWhenUsed/>
    <w:rsid w:val="001740ED"/>
    <w:rPr>
      <w:b/>
      <w:bCs/>
    </w:rPr>
  </w:style>
  <w:style w:type="character" w:customStyle="1" w:styleId="CommentSubjectChar">
    <w:name w:val="Comment Subject Char"/>
    <w:basedOn w:val="CommentTextChar"/>
    <w:link w:val="CommentSubject"/>
    <w:uiPriority w:val="99"/>
    <w:semiHidden/>
    <w:rsid w:val="001740ED"/>
    <w:rPr>
      <w:b/>
      <w:bCs/>
      <w:sz w:val="20"/>
      <w:szCs w:val="20"/>
    </w:rPr>
  </w:style>
  <w:style w:type="paragraph" w:customStyle="1" w:styleId="Tablebul1">
    <w:name w:val="Table bul 1"/>
    <w:basedOn w:val="ListParagraph"/>
    <w:qFormat/>
    <w:rsid w:val="00594630"/>
    <w:pPr>
      <w:numPr>
        <w:numId w:val="8"/>
      </w:numPr>
      <w:ind w:left="245" w:hanging="245"/>
    </w:pPr>
    <w:rPr>
      <w:rFonts w:ascii="Arial" w:hAnsi="Arial" w:cs="Arial"/>
      <w:sz w:val="22"/>
      <w:szCs w:val="22"/>
    </w:rPr>
  </w:style>
  <w:style w:type="paragraph" w:customStyle="1" w:styleId="Tbul1">
    <w:name w:val="Tbul1"/>
    <w:basedOn w:val="Tablebul1"/>
    <w:qFormat/>
    <w:rsid w:val="008833B5"/>
  </w:style>
  <w:style w:type="character" w:styleId="PlaceholderText">
    <w:name w:val="Placeholder Text"/>
    <w:basedOn w:val="DefaultParagraphFont"/>
    <w:uiPriority w:val="99"/>
    <w:semiHidden/>
    <w:rsid w:val="00776459"/>
    <w:rPr>
      <w:color w:val="808080"/>
    </w:rPr>
  </w:style>
  <w:style w:type="paragraph" w:styleId="FootnoteText">
    <w:name w:val="footnote text"/>
    <w:basedOn w:val="Normal"/>
    <w:link w:val="FootnoteTextChar"/>
    <w:uiPriority w:val="99"/>
    <w:semiHidden/>
    <w:unhideWhenUsed/>
    <w:rsid w:val="00324D8C"/>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324D8C"/>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324D8C"/>
    <w:rPr>
      <w:vertAlign w:val="superscript"/>
    </w:rPr>
  </w:style>
  <w:style w:type="paragraph" w:customStyle="1" w:styleId="a">
    <w:name w:val="a."/>
    <w:basedOn w:val="NoSpacing"/>
    <w:qFormat/>
    <w:rsid w:val="00324D8C"/>
    <w:pPr>
      <w:numPr>
        <w:numId w:val="13"/>
      </w:numPr>
    </w:pPr>
    <w:rPr>
      <w:rFonts w:ascii="Times New Roman" w:hAnsi="Times New Roman" w:cs="Times New Roman"/>
      <w:sz w:val="24"/>
    </w:rPr>
  </w:style>
  <w:style w:type="paragraph" w:styleId="Title">
    <w:name w:val="Title"/>
    <w:basedOn w:val="Normal"/>
    <w:next w:val="Normal"/>
    <w:link w:val="TitleChar"/>
    <w:uiPriority w:val="10"/>
    <w:qFormat/>
    <w:rsid w:val="004942D3"/>
    <w:pPr>
      <w:contextualSpacing/>
      <w:jc w:val="center"/>
    </w:pPr>
    <w:rPr>
      <w:rFonts w:asciiTheme="majorHAnsi" w:eastAsiaTheme="majorEastAsia" w:hAnsiTheme="majorHAnsi" w:cstheme="majorBidi"/>
      <w:b/>
      <w:color w:val="3266A5"/>
      <w:spacing w:val="-10"/>
      <w:kern w:val="28"/>
      <w:sz w:val="40"/>
      <w:szCs w:val="40"/>
    </w:rPr>
  </w:style>
  <w:style w:type="character" w:customStyle="1" w:styleId="TitleChar">
    <w:name w:val="Title Char"/>
    <w:basedOn w:val="DefaultParagraphFont"/>
    <w:link w:val="Title"/>
    <w:uiPriority w:val="10"/>
    <w:rsid w:val="004942D3"/>
    <w:rPr>
      <w:rFonts w:asciiTheme="majorHAnsi" w:eastAsiaTheme="majorEastAsia" w:hAnsiTheme="majorHAnsi" w:cstheme="majorBidi"/>
      <w:b/>
      <w:color w:val="3266A5"/>
      <w:spacing w:val="-10"/>
      <w:kern w:val="28"/>
      <w:sz w:val="40"/>
      <w:szCs w:val="40"/>
    </w:rPr>
  </w:style>
  <w:style w:type="character" w:customStyle="1" w:styleId="Heading1Char">
    <w:name w:val="Heading 1 Char"/>
    <w:basedOn w:val="DefaultParagraphFont"/>
    <w:link w:val="Heading1"/>
    <w:uiPriority w:val="9"/>
    <w:rsid w:val="004942D3"/>
    <w:rPr>
      <w:rFonts w:asciiTheme="majorHAnsi" w:eastAsiaTheme="majorEastAsia" w:hAnsiTheme="majorHAnsi" w:cstheme="majorBidi"/>
      <w:b/>
      <w:color w:val="3266A5"/>
      <w:sz w:val="28"/>
      <w:szCs w:val="28"/>
    </w:rPr>
  </w:style>
  <w:style w:type="paragraph" w:customStyle="1" w:styleId="TableHeaderWhite">
    <w:name w:val="Table Header White©"/>
    <w:qFormat/>
    <w:rsid w:val="00311EEC"/>
    <w:rPr>
      <w:rFonts w:asciiTheme="majorHAnsi" w:eastAsiaTheme="majorEastAsia" w:hAnsiTheme="majorHAnsi"/>
      <w:b/>
      <w:b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11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ccrc.tc.columbia.edu/publications/what-we-know-about-guided-pathways-packe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852</Words>
  <Characters>4860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Cale-Henson</dc:creator>
  <cp:lastModifiedBy>Jenn Giffels</cp:lastModifiedBy>
  <cp:revision>2</cp:revision>
  <cp:lastPrinted>2017-05-03T18:52:00Z</cp:lastPrinted>
  <dcterms:created xsi:type="dcterms:W3CDTF">2017-12-15T15:46:00Z</dcterms:created>
  <dcterms:modified xsi:type="dcterms:W3CDTF">2017-12-15T15:46:00Z</dcterms:modified>
</cp:coreProperties>
</file>