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A800B" w14:textId="77777777" w:rsidR="00E06D9D" w:rsidRPr="00845BE9" w:rsidRDefault="00E06D9D" w:rsidP="00E06D9D">
      <w:pPr>
        <w:rPr>
          <w:rFonts w:ascii="Segoe UI" w:hAnsi="Segoe UI" w:cs="Segoe UI"/>
          <w:b/>
        </w:rPr>
      </w:pPr>
      <w:bookmarkStart w:id="0" w:name="_GoBack"/>
      <w:bookmarkEnd w:id="0"/>
      <w:r w:rsidRPr="00845BE9">
        <w:rPr>
          <w:rFonts w:ascii="Segoe UI" w:hAnsi="Segoe UI" w:cs="Segoe UI"/>
          <w:b/>
        </w:rPr>
        <w:t>NC GPS Cohort I Application Review Guidelines</w:t>
      </w:r>
      <w:r w:rsidRPr="00845BE9">
        <w:rPr>
          <w:rFonts w:ascii="Segoe UI" w:hAnsi="Segoe UI" w:cs="Segoe UI"/>
          <w:b/>
        </w:rPr>
        <w:tab/>
      </w:r>
      <w:r w:rsidRPr="00845BE9">
        <w:rPr>
          <w:rFonts w:ascii="Segoe UI" w:hAnsi="Segoe UI" w:cs="Segoe UI"/>
          <w:b/>
        </w:rPr>
        <w:tab/>
      </w:r>
      <w:r w:rsidRPr="00845BE9">
        <w:rPr>
          <w:rFonts w:ascii="Segoe UI" w:hAnsi="Segoe UI" w:cs="Segoe UI"/>
          <w:b/>
        </w:rPr>
        <w:tab/>
      </w:r>
      <w:r w:rsidRPr="00845BE9">
        <w:rPr>
          <w:rFonts w:ascii="Segoe UI" w:hAnsi="Segoe UI" w:cs="Segoe UI"/>
          <w:b/>
        </w:rPr>
        <w:tab/>
      </w:r>
      <w:r w:rsidRPr="00845BE9">
        <w:rPr>
          <w:rFonts w:ascii="Segoe UI" w:hAnsi="Segoe UI" w:cs="Segoe UI"/>
          <w:b/>
        </w:rPr>
        <w:tab/>
      </w:r>
      <w:r w:rsidRPr="00845BE9">
        <w:rPr>
          <w:rFonts w:ascii="Segoe UI" w:hAnsi="Segoe UI" w:cs="Segoe UI"/>
          <w:b/>
        </w:rPr>
        <w:tab/>
      </w:r>
      <w:r w:rsidRPr="00845BE9">
        <w:rPr>
          <w:rFonts w:ascii="Segoe UI" w:hAnsi="Segoe UI" w:cs="Segoe UI"/>
          <w:b/>
        </w:rPr>
        <w:tab/>
      </w:r>
      <w:r w:rsidRPr="00845BE9">
        <w:rPr>
          <w:rFonts w:ascii="Segoe UI" w:hAnsi="Segoe UI" w:cs="Segoe UI"/>
          <w:b/>
        </w:rPr>
        <w:tab/>
        <w:t>NC Student Success Center</w:t>
      </w:r>
      <w:r w:rsidRPr="00845BE9">
        <w:rPr>
          <w:rFonts w:ascii="Segoe UI" w:hAnsi="Segoe UI" w:cs="Segoe UI"/>
          <w:b/>
        </w:rPr>
        <w:tab/>
      </w:r>
    </w:p>
    <w:p w14:paraId="02AEEA09" w14:textId="63B30EBE" w:rsidR="00B6502D" w:rsidRPr="005D280C" w:rsidRDefault="00CB6959" w:rsidP="007E34ED">
      <w:pPr>
        <w:pBdr>
          <w:top w:val="single" w:sz="4" w:space="1" w:color="auto"/>
        </w:pBdr>
        <w:spacing w:after="0" w:line="240" w:lineRule="auto"/>
        <w:rPr>
          <w:rFonts w:ascii="Segoe UI" w:hAnsi="Segoe UI" w:cs="Segoe UI"/>
          <w:sz w:val="21"/>
          <w:szCs w:val="20"/>
        </w:rPr>
      </w:pPr>
      <w:r>
        <w:rPr>
          <w:rFonts w:ascii="Segoe UI" w:hAnsi="Segoe UI" w:cs="Segoe UI"/>
          <w:sz w:val="20"/>
          <w:szCs w:val="20"/>
        </w:rPr>
        <w:t>A variety of institutional capacities are necessary to implement and sustain NC Guided Pathways to Success (NC GPS) practices at scale. Thro</w:t>
      </w:r>
      <w:r w:rsidR="004917A5">
        <w:rPr>
          <w:rFonts w:ascii="Segoe UI" w:hAnsi="Segoe UI" w:cs="Segoe UI"/>
          <w:sz w:val="20"/>
          <w:szCs w:val="20"/>
        </w:rPr>
        <w:t xml:space="preserve">ugh responses to six questions, colleges were asked to </w:t>
      </w:r>
      <w:r w:rsidR="00AA6D1C" w:rsidRPr="007E34ED">
        <w:rPr>
          <w:rFonts w:ascii="Segoe UI" w:hAnsi="Segoe UI" w:cs="Segoe UI"/>
          <w:b/>
          <w:sz w:val="20"/>
          <w:szCs w:val="20"/>
        </w:rPr>
        <w:t>demonstrate the</w:t>
      </w:r>
      <w:r>
        <w:rPr>
          <w:rFonts w:ascii="Segoe UI" w:hAnsi="Segoe UI" w:cs="Segoe UI"/>
          <w:b/>
          <w:sz w:val="20"/>
          <w:szCs w:val="20"/>
        </w:rPr>
        <w:t>se</w:t>
      </w:r>
      <w:r w:rsidR="00AA6D1C" w:rsidRPr="007E34ED">
        <w:rPr>
          <w:rFonts w:ascii="Segoe UI" w:hAnsi="Segoe UI" w:cs="Segoe UI"/>
          <w:b/>
          <w:sz w:val="20"/>
          <w:szCs w:val="20"/>
        </w:rPr>
        <w:t xml:space="preserve"> capacities</w:t>
      </w:r>
      <w:r>
        <w:rPr>
          <w:rFonts w:ascii="Segoe UI" w:hAnsi="Segoe UI" w:cs="Segoe UI"/>
          <w:b/>
          <w:sz w:val="20"/>
          <w:szCs w:val="20"/>
        </w:rPr>
        <w:t xml:space="preserve">—or </w:t>
      </w:r>
      <w:r w:rsidR="00AA6D1C" w:rsidRPr="007E34ED">
        <w:rPr>
          <w:rFonts w:ascii="Segoe UI" w:hAnsi="Segoe UI" w:cs="Segoe UI"/>
          <w:b/>
          <w:sz w:val="20"/>
          <w:szCs w:val="20"/>
        </w:rPr>
        <w:t>the willingness to develop them</w:t>
      </w:r>
      <w:r w:rsidR="004917A5">
        <w:rPr>
          <w:rFonts w:ascii="Segoe UI" w:hAnsi="Segoe UI" w:cs="Segoe UI"/>
          <w:b/>
          <w:sz w:val="20"/>
          <w:szCs w:val="20"/>
        </w:rPr>
        <w:t>—</w:t>
      </w:r>
      <w:r w:rsidR="004917A5" w:rsidRPr="004917A5">
        <w:rPr>
          <w:rFonts w:ascii="Segoe UI" w:hAnsi="Segoe UI" w:cs="Segoe UI"/>
          <w:sz w:val="20"/>
          <w:szCs w:val="20"/>
        </w:rPr>
        <w:t>as part of the application process for the NC GPS Cohort I</w:t>
      </w:r>
      <w:r w:rsidR="00AA6D1C" w:rsidRPr="004917A5">
        <w:rPr>
          <w:rFonts w:ascii="Segoe UI" w:hAnsi="Segoe UI" w:cs="Segoe UI"/>
          <w:sz w:val="21"/>
          <w:szCs w:val="20"/>
        </w:rPr>
        <w:t xml:space="preserve">. </w:t>
      </w:r>
      <w:r w:rsidR="00B6502D" w:rsidRPr="005D280C">
        <w:rPr>
          <w:rFonts w:ascii="Segoe UI" w:hAnsi="Segoe UI" w:cs="Segoe UI"/>
          <w:sz w:val="21"/>
          <w:szCs w:val="20"/>
        </w:rPr>
        <w:t xml:space="preserve">Before our meeting on </w:t>
      </w:r>
      <w:r w:rsidR="00B6502D" w:rsidRPr="00A82C24">
        <w:rPr>
          <w:rFonts w:ascii="Segoe UI" w:hAnsi="Segoe UI" w:cs="Segoe UI"/>
          <w:b/>
          <w:sz w:val="21"/>
          <w:szCs w:val="20"/>
        </w:rPr>
        <w:t>Wednesday, February 7 at 9:00 a.m. via Skype</w:t>
      </w:r>
      <w:r w:rsidR="00B6502D" w:rsidRPr="005D280C">
        <w:rPr>
          <w:rFonts w:ascii="Segoe UI" w:hAnsi="Segoe UI" w:cs="Segoe UI"/>
          <w:sz w:val="21"/>
          <w:szCs w:val="20"/>
        </w:rPr>
        <w:t>, please complete the following steps for each of the applications:</w:t>
      </w:r>
    </w:p>
    <w:p w14:paraId="0B550C0D" w14:textId="77777777" w:rsidR="00D07E36" w:rsidRPr="009A032A" w:rsidRDefault="00D07E36" w:rsidP="00D07E36">
      <w:pPr>
        <w:spacing w:after="0" w:line="240" w:lineRule="auto"/>
        <w:rPr>
          <w:rFonts w:ascii="Segoe UI" w:hAnsi="Segoe UI" w:cs="Segoe UI"/>
          <w:sz w:val="16"/>
          <w:szCs w:val="16"/>
        </w:rPr>
      </w:pPr>
    </w:p>
    <w:p w14:paraId="58BC0BB7" w14:textId="77777777" w:rsidR="00AA6D1C" w:rsidRPr="00CB6959" w:rsidRDefault="00B6502D" w:rsidP="00D07E36">
      <w:pPr>
        <w:pStyle w:val="ListParagraph"/>
        <w:numPr>
          <w:ilvl w:val="0"/>
          <w:numId w:val="3"/>
        </w:numPr>
        <w:rPr>
          <w:rFonts w:ascii="Segoe UI" w:hAnsi="Segoe UI" w:cs="Segoe UI"/>
          <w:b/>
          <w:sz w:val="21"/>
          <w:szCs w:val="20"/>
        </w:rPr>
      </w:pPr>
      <w:r w:rsidRPr="00CB6959">
        <w:rPr>
          <w:rFonts w:ascii="Segoe UI" w:hAnsi="Segoe UI" w:cs="Segoe UI"/>
          <w:b/>
          <w:sz w:val="21"/>
          <w:szCs w:val="20"/>
        </w:rPr>
        <w:t xml:space="preserve">Review each college’s responses to the six questions. </w:t>
      </w:r>
    </w:p>
    <w:p w14:paraId="411A56C5" w14:textId="77777777" w:rsidR="00D07E36" w:rsidRPr="00CB6959" w:rsidRDefault="00DB2555" w:rsidP="00D07E36">
      <w:pPr>
        <w:pStyle w:val="ListParagraph"/>
        <w:numPr>
          <w:ilvl w:val="0"/>
          <w:numId w:val="3"/>
        </w:numPr>
        <w:rPr>
          <w:rFonts w:ascii="Segoe UI" w:hAnsi="Segoe UI" w:cs="Segoe UI"/>
          <w:b/>
          <w:sz w:val="21"/>
          <w:szCs w:val="20"/>
        </w:rPr>
      </w:pPr>
      <w:r w:rsidRPr="00CB6959">
        <w:rPr>
          <w:rFonts w:ascii="Segoe UI" w:hAnsi="Segoe UI" w:cs="Segoe UI"/>
          <w:b/>
          <w:sz w:val="21"/>
          <w:szCs w:val="20"/>
        </w:rPr>
        <w:t>Note</w:t>
      </w:r>
      <w:r w:rsidR="00B6502D" w:rsidRPr="00CB6959">
        <w:rPr>
          <w:rFonts w:ascii="Segoe UI" w:hAnsi="Segoe UI" w:cs="Segoe UI"/>
          <w:b/>
          <w:sz w:val="21"/>
          <w:szCs w:val="20"/>
        </w:rPr>
        <w:t xml:space="preserve"> whether </w:t>
      </w:r>
      <w:r w:rsidRPr="00CB6959">
        <w:rPr>
          <w:rFonts w:ascii="Segoe UI" w:hAnsi="Segoe UI" w:cs="Segoe UI"/>
          <w:b/>
          <w:sz w:val="21"/>
          <w:szCs w:val="20"/>
        </w:rPr>
        <w:t xml:space="preserve">there is evidence that </w:t>
      </w:r>
      <w:r w:rsidR="00B6502D" w:rsidRPr="00CB6959">
        <w:rPr>
          <w:rFonts w:ascii="Segoe UI" w:hAnsi="Segoe UI" w:cs="Segoe UI"/>
          <w:b/>
          <w:sz w:val="21"/>
          <w:szCs w:val="20"/>
        </w:rPr>
        <w:t xml:space="preserve">the college </w:t>
      </w:r>
      <w:r w:rsidRPr="00CB6959">
        <w:rPr>
          <w:rFonts w:ascii="Segoe UI" w:hAnsi="Segoe UI" w:cs="Segoe UI"/>
          <w:b/>
          <w:sz w:val="21"/>
          <w:szCs w:val="20"/>
        </w:rPr>
        <w:t>considered</w:t>
      </w:r>
      <w:r w:rsidR="00B6502D" w:rsidRPr="00CB6959">
        <w:rPr>
          <w:rFonts w:ascii="Segoe UI" w:hAnsi="Segoe UI" w:cs="Segoe UI"/>
          <w:b/>
          <w:sz w:val="21"/>
          <w:szCs w:val="20"/>
        </w:rPr>
        <w:t xml:space="preserve"> capacities A-E in their responses. (See </w:t>
      </w:r>
      <w:r w:rsidR="00D07E36" w:rsidRPr="00CB6959">
        <w:rPr>
          <w:rFonts w:ascii="Segoe UI" w:hAnsi="Segoe UI" w:cs="Segoe UI"/>
          <w:b/>
          <w:sz w:val="21"/>
          <w:szCs w:val="20"/>
        </w:rPr>
        <w:t>descriptions</w:t>
      </w:r>
      <w:r w:rsidR="00B6502D" w:rsidRPr="00CB6959">
        <w:rPr>
          <w:rFonts w:ascii="Segoe UI" w:hAnsi="Segoe UI" w:cs="Segoe UI"/>
          <w:b/>
          <w:sz w:val="21"/>
          <w:szCs w:val="20"/>
        </w:rPr>
        <w:t xml:space="preserve"> below.) </w:t>
      </w:r>
    </w:p>
    <w:p w14:paraId="2A7F9251" w14:textId="77777777" w:rsidR="00B6502D" w:rsidRPr="00CB6959" w:rsidRDefault="00A82C24" w:rsidP="00D07E36">
      <w:pPr>
        <w:pStyle w:val="ListParagraph"/>
        <w:numPr>
          <w:ilvl w:val="0"/>
          <w:numId w:val="3"/>
        </w:numPr>
        <w:rPr>
          <w:rFonts w:ascii="Segoe UI" w:hAnsi="Segoe UI" w:cs="Segoe UI"/>
          <w:b/>
          <w:sz w:val="21"/>
          <w:szCs w:val="20"/>
        </w:rPr>
      </w:pPr>
      <w:r w:rsidRPr="00CB6959">
        <w:rPr>
          <w:rFonts w:ascii="Segoe UI" w:hAnsi="Segoe UI" w:cs="Segoe UI"/>
          <w:b/>
          <w:sz w:val="21"/>
          <w:szCs w:val="20"/>
        </w:rPr>
        <w:t xml:space="preserve">Make notes in </w:t>
      </w:r>
      <w:r w:rsidR="004917A5">
        <w:rPr>
          <w:rFonts w:ascii="Segoe UI" w:hAnsi="Segoe UI" w:cs="Segoe UI"/>
          <w:b/>
          <w:sz w:val="21"/>
          <w:szCs w:val="20"/>
        </w:rPr>
        <w:t>Column F</w:t>
      </w:r>
      <w:r w:rsidRPr="00CB6959">
        <w:rPr>
          <w:rFonts w:ascii="Segoe UI" w:hAnsi="Segoe UI" w:cs="Segoe UI"/>
          <w:b/>
          <w:sz w:val="21"/>
          <w:szCs w:val="20"/>
        </w:rPr>
        <w:t xml:space="preserve"> if you have specific comments, kudos, or concerns.</w:t>
      </w:r>
    </w:p>
    <w:p w14:paraId="7B1D0397" w14:textId="77777777" w:rsidR="00D07E36" w:rsidRPr="005D280C" w:rsidRDefault="00D07E36" w:rsidP="00D07E36">
      <w:pPr>
        <w:spacing w:after="0" w:line="240" w:lineRule="auto"/>
        <w:rPr>
          <w:rFonts w:ascii="Segoe UI" w:hAnsi="Segoe UI" w:cs="Segoe UI"/>
          <w:sz w:val="21"/>
          <w:szCs w:val="20"/>
        </w:rPr>
      </w:pPr>
    </w:p>
    <w:p w14:paraId="231FB3B7" w14:textId="77777777" w:rsidR="00D07E36" w:rsidRPr="005D280C" w:rsidRDefault="00B6502D" w:rsidP="00D07E36">
      <w:pPr>
        <w:spacing w:after="0" w:line="240" w:lineRule="auto"/>
        <w:rPr>
          <w:rFonts w:ascii="Segoe UI" w:hAnsi="Segoe UI" w:cs="Segoe UI"/>
          <w:sz w:val="21"/>
          <w:szCs w:val="20"/>
        </w:rPr>
      </w:pPr>
      <w:r w:rsidRPr="005D280C">
        <w:rPr>
          <w:rFonts w:ascii="Segoe UI" w:hAnsi="Segoe UI" w:cs="Segoe UI"/>
          <w:sz w:val="21"/>
          <w:szCs w:val="20"/>
        </w:rPr>
        <w:t xml:space="preserve">Ultimately, we are </w:t>
      </w:r>
      <w:r w:rsidR="00D07E36" w:rsidRPr="005D280C">
        <w:rPr>
          <w:rFonts w:ascii="Segoe UI" w:hAnsi="Segoe UI" w:cs="Segoe UI"/>
          <w:sz w:val="21"/>
          <w:szCs w:val="20"/>
        </w:rPr>
        <w:t xml:space="preserve">trying to identify whether the college has demonstrated </w:t>
      </w:r>
    </w:p>
    <w:p w14:paraId="123E30B3" w14:textId="77777777" w:rsidR="00D07E36" w:rsidRPr="00CB6959" w:rsidRDefault="00D07E36" w:rsidP="00D07E36">
      <w:pPr>
        <w:pStyle w:val="ListParagraph"/>
        <w:numPr>
          <w:ilvl w:val="0"/>
          <w:numId w:val="4"/>
        </w:numPr>
        <w:rPr>
          <w:rFonts w:ascii="Segoe UI" w:hAnsi="Segoe UI" w:cs="Segoe UI"/>
          <w:b/>
          <w:i/>
          <w:sz w:val="21"/>
          <w:szCs w:val="20"/>
        </w:rPr>
      </w:pPr>
      <w:r w:rsidRPr="00CB6959">
        <w:rPr>
          <w:rFonts w:ascii="Segoe UI" w:hAnsi="Segoe UI" w:cs="Segoe UI"/>
          <w:b/>
          <w:i/>
          <w:sz w:val="21"/>
          <w:szCs w:val="20"/>
        </w:rPr>
        <w:t xml:space="preserve">commitment to student success and the NC GPS process;  </w:t>
      </w:r>
    </w:p>
    <w:p w14:paraId="76DF05DC" w14:textId="77777777" w:rsidR="00D07E36" w:rsidRPr="00CB6959" w:rsidRDefault="00D07E36" w:rsidP="00D07E36">
      <w:pPr>
        <w:pStyle w:val="ListParagraph"/>
        <w:numPr>
          <w:ilvl w:val="0"/>
          <w:numId w:val="4"/>
        </w:numPr>
        <w:rPr>
          <w:rFonts w:ascii="Segoe UI" w:hAnsi="Segoe UI" w:cs="Segoe UI"/>
          <w:b/>
          <w:i/>
          <w:sz w:val="21"/>
          <w:szCs w:val="20"/>
        </w:rPr>
      </w:pPr>
      <w:r w:rsidRPr="00CB6959">
        <w:rPr>
          <w:rFonts w:ascii="Segoe UI" w:hAnsi="Segoe UI" w:cs="Segoe UI"/>
          <w:b/>
          <w:i/>
          <w:sz w:val="21"/>
          <w:szCs w:val="20"/>
        </w:rPr>
        <w:t>understanding of how the college may benefit from this process; and</w:t>
      </w:r>
    </w:p>
    <w:p w14:paraId="64F0CA05" w14:textId="77777777" w:rsidR="00B6502D" w:rsidRPr="00CB6959" w:rsidRDefault="00D07E36" w:rsidP="00D07E36">
      <w:pPr>
        <w:pStyle w:val="ListParagraph"/>
        <w:numPr>
          <w:ilvl w:val="0"/>
          <w:numId w:val="4"/>
        </w:numPr>
        <w:rPr>
          <w:rFonts w:ascii="Segoe UI" w:hAnsi="Segoe UI" w:cs="Segoe UI"/>
          <w:b/>
          <w:i/>
          <w:sz w:val="21"/>
          <w:szCs w:val="20"/>
        </w:rPr>
      </w:pPr>
      <w:r w:rsidRPr="00CB6959">
        <w:rPr>
          <w:rFonts w:ascii="Segoe UI" w:hAnsi="Segoe UI" w:cs="Segoe UI"/>
          <w:b/>
          <w:i/>
          <w:sz w:val="21"/>
          <w:szCs w:val="20"/>
        </w:rPr>
        <w:t>willingness to contribute time, effort, and resources to participate.</w:t>
      </w:r>
    </w:p>
    <w:p w14:paraId="048320D3" w14:textId="77777777" w:rsidR="00D07E36" w:rsidRPr="00CB6959" w:rsidRDefault="00D07E36" w:rsidP="00D07E36">
      <w:pPr>
        <w:spacing w:after="0" w:line="240" w:lineRule="auto"/>
        <w:rPr>
          <w:rFonts w:ascii="Segoe UI" w:hAnsi="Segoe UI" w:cs="Segoe UI"/>
          <w:b/>
          <w:sz w:val="21"/>
          <w:szCs w:val="20"/>
        </w:rPr>
      </w:pPr>
    </w:p>
    <w:p w14:paraId="358EED8F" w14:textId="77777777" w:rsidR="00B6502D" w:rsidRPr="005D280C" w:rsidRDefault="00D07E36" w:rsidP="00D07E36">
      <w:pPr>
        <w:spacing w:after="0" w:line="240" w:lineRule="auto"/>
        <w:rPr>
          <w:rFonts w:ascii="Segoe UI" w:hAnsi="Segoe UI" w:cs="Segoe UI"/>
          <w:b/>
          <w:sz w:val="21"/>
          <w:szCs w:val="20"/>
        </w:rPr>
      </w:pPr>
      <w:r w:rsidRPr="005D280C">
        <w:rPr>
          <w:rFonts w:ascii="Segoe UI" w:hAnsi="Segoe UI" w:cs="Segoe UI"/>
          <w:b/>
          <w:sz w:val="21"/>
          <w:szCs w:val="20"/>
        </w:rPr>
        <w:t>Descriptions of NC GPS College Capacities &amp; Worksheet Key</w:t>
      </w:r>
    </w:p>
    <w:p w14:paraId="473C558D" w14:textId="77777777" w:rsidR="006C0DCB" w:rsidRPr="005D280C" w:rsidRDefault="006C0DCB" w:rsidP="00D07E36">
      <w:pPr>
        <w:pStyle w:val="ListParagraph"/>
        <w:numPr>
          <w:ilvl w:val="0"/>
          <w:numId w:val="2"/>
        </w:numPr>
        <w:rPr>
          <w:rFonts w:ascii="Segoe UI" w:hAnsi="Segoe UI" w:cs="Segoe UI"/>
          <w:sz w:val="21"/>
          <w:szCs w:val="20"/>
        </w:rPr>
      </w:pPr>
      <w:r w:rsidRPr="005D280C">
        <w:rPr>
          <w:rFonts w:ascii="Segoe UI" w:hAnsi="Segoe UI" w:cs="Segoe UI"/>
          <w:sz w:val="21"/>
          <w:szCs w:val="20"/>
        </w:rPr>
        <w:t>College leadership commitment to and capacity for managing and sustaining comprehensive, transformational change;</w:t>
      </w:r>
    </w:p>
    <w:p w14:paraId="70AACA73" w14:textId="77777777" w:rsidR="006C0DCB" w:rsidRPr="005D280C" w:rsidRDefault="006C0DCB" w:rsidP="00D07E36">
      <w:pPr>
        <w:pStyle w:val="ListParagraph"/>
        <w:numPr>
          <w:ilvl w:val="0"/>
          <w:numId w:val="2"/>
        </w:numPr>
        <w:rPr>
          <w:rFonts w:ascii="Segoe UI" w:hAnsi="Segoe UI" w:cs="Segoe UI"/>
          <w:sz w:val="21"/>
          <w:szCs w:val="20"/>
        </w:rPr>
      </w:pPr>
      <w:r w:rsidRPr="005D280C">
        <w:rPr>
          <w:rFonts w:ascii="Segoe UI" w:hAnsi="Segoe UI" w:cs="Segoe UI"/>
          <w:sz w:val="21"/>
          <w:szCs w:val="20"/>
        </w:rPr>
        <w:t>Broad and authentic engagement of college faculty and staff from all divisions (including Curriculum, Workforce CE/Career Credit, Basic Skills, and others) in the design, implementation, evaluation, and ongoing improvement of career planning, program maps, advising and student support services, credit and career credit alignment, and student learning outcomes;</w:t>
      </w:r>
    </w:p>
    <w:p w14:paraId="6325A1E0" w14:textId="77777777" w:rsidR="006C0DCB" w:rsidRPr="005D280C" w:rsidRDefault="006C0DCB" w:rsidP="00D07E36">
      <w:pPr>
        <w:pStyle w:val="ListParagraph"/>
        <w:numPr>
          <w:ilvl w:val="0"/>
          <w:numId w:val="2"/>
        </w:numPr>
        <w:rPr>
          <w:rFonts w:ascii="Segoe UI" w:hAnsi="Segoe UI" w:cs="Segoe UI"/>
          <w:sz w:val="21"/>
          <w:szCs w:val="20"/>
        </w:rPr>
      </w:pPr>
      <w:r w:rsidRPr="005D280C">
        <w:rPr>
          <w:rFonts w:ascii="Segoe UI" w:hAnsi="Segoe UI" w:cs="Segoe UI"/>
          <w:sz w:val="21"/>
          <w:szCs w:val="20"/>
        </w:rPr>
        <w:t xml:space="preserve">Institutional capacity (or will) to use data and evidence to design academic and career pathways, monitor student progress, structure </w:t>
      </w:r>
      <w:proofErr w:type="gramStart"/>
      <w:r w:rsidRPr="005D280C">
        <w:rPr>
          <w:rFonts w:ascii="Segoe UI" w:hAnsi="Segoe UI" w:cs="Segoe UI"/>
          <w:sz w:val="21"/>
          <w:szCs w:val="20"/>
        </w:rPr>
        <w:t>student supports,</w:t>
      </w:r>
      <w:proofErr w:type="gramEnd"/>
      <w:r w:rsidRPr="005D280C">
        <w:rPr>
          <w:rFonts w:ascii="Segoe UI" w:hAnsi="Segoe UI" w:cs="Segoe UI"/>
          <w:sz w:val="21"/>
          <w:szCs w:val="20"/>
        </w:rPr>
        <w:t xml:space="preserve"> provide appropriate academic and non-academic interventions, and implement needed improvements over time;</w:t>
      </w:r>
    </w:p>
    <w:p w14:paraId="35BFF135" w14:textId="77777777" w:rsidR="006C0DCB" w:rsidRPr="005D280C" w:rsidRDefault="006C0DCB" w:rsidP="00D07E36">
      <w:pPr>
        <w:pStyle w:val="ListParagraph"/>
        <w:numPr>
          <w:ilvl w:val="0"/>
          <w:numId w:val="2"/>
        </w:numPr>
        <w:rPr>
          <w:rFonts w:ascii="Segoe UI" w:hAnsi="Segoe UI" w:cs="Segoe UI"/>
          <w:sz w:val="21"/>
          <w:szCs w:val="20"/>
        </w:rPr>
      </w:pPr>
      <w:r w:rsidRPr="005D280C">
        <w:rPr>
          <w:rFonts w:ascii="Segoe UI" w:hAnsi="Segoe UI" w:cs="Segoe UI"/>
          <w:sz w:val="21"/>
          <w:szCs w:val="20"/>
        </w:rPr>
        <w:t>Commitment to developing a culture of continuous inquiry, learning, and improvement with targeted professional and organizational development; and</w:t>
      </w:r>
    </w:p>
    <w:p w14:paraId="1F954823" w14:textId="77777777" w:rsidR="006C0DCB" w:rsidRPr="005D280C" w:rsidRDefault="006C0DCB" w:rsidP="00D07E36">
      <w:pPr>
        <w:pStyle w:val="ListParagraph"/>
        <w:numPr>
          <w:ilvl w:val="0"/>
          <w:numId w:val="2"/>
        </w:numPr>
        <w:rPr>
          <w:rFonts w:ascii="Segoe UI" w:hAnsi="Segoe UI" w:cs="Segoe UI"/>
          <w:sz w:val="21"/>
          <w:szCs w:val="20"/>
        </w:rPr>
      </w:pPr>
      <w:r w:rsidRPr="005D280C">
        <w:rPr>
          <w:rFonts w:ascii="Segoe UI" w:hAnsi="Segoe UI" w:cs="Segoe UI"/>
          <w:sz w:val="21"/>
          <w:szCs w:val="20"/>
        </w:rPr>
        <w:t>Allocation of resources—human, fiscal, and time—to successfully implement Guided Pathways at scale college-wide, a process that will evolve over the course of five or more years</w:t>
      </w:r>
    </w:p>
    <w:p w14:paraId="3CFD1DF0" w14:textId="77777777" w:rsidR="001A3712" w:rsidRPr="005D280C" w:rsidRDefault="001A3712" w:rsidP="00D07E36">
      <w:pPr>
        <w:pStyle w:val="ListParagraph"/>
        <w:numPr>
          <w:ilvl w:val="0"/>
          <w:numId w:val="2"/>
        </w:numPr>
        <w:rPr>
          <w:rFonts w:ascii="Segoe UI" w:hAnsi="Segoe UI" w:cs="Segoe UI"/>
          <w:sz w:val="21"/>
          <w:szCs w:val="20"/>
        </w:rPr>
      </w:pPr>
      <w:r w:rsidRPr="005D280C">
        <w:rPr>
          <w:rFonts w:ascii="Segoe UI" w:hAnsi="Segoe UI" w:cs="Segoe UI"/>
          <w:sz w:val="21"/>
          <w:szCs w:val="20"/>
        </w:rPr>
        <w:t>Other notes from application review and comments</w:t>
      </w:r>
    </w:p>
    <w:p w14:paraId="55725501" w14:textId="77777777" w:rsidR="001A3712" w:rsidRPr="00D07E36" w:rsidRDefault="001A3712" w:rsidP="001A3712">
      <w:pPr>
        <w:pStyle w:val="ListParagraph"/>
        <w:rPr>
          <w:rFonts w:ascii="Segoe UI" w:hAnsi="Segoe UI" w:cs="Segoe UI"/>
          <w:sz w:val="16"/>
          <w:szCs w:val="16"/>
        </w:rPr>
      </w:pPr>
    </w:p>
    <w:tbl>
      <w:tblPr>
        <w:tblStyle w:val="TableGrid"/>
        <w:tblW w:w="13860" w:type="dxa"/>
        <w:tblInd w:w="-275" w:type="dxa"/>
        <w:tblLook w:val="04A0" w:firstRow="1" w:lastRow="0" w:firstColumn="1" w:lastColumn="0" w:noHBand="0" w:noVBand="1"/>
      </w:tblPr>
      <w:tblGrid>
        <w:gridCol w:w="1890"/>
        <w:gridCol w:w="2070"/>
        <w:gridCol w:w="1991"/>
        <w:gridCol w:w="1841"/>
        <w:gridCol w:w="1978"/>
        <w:gridCol w:w="1877"/>
        <w:gridCol w:w="2213"/>
      </w:tblGrid>
      <w:tr w:rsidR="001A3712" w:rsidRPr="00B756D3" w14:paraId="2A7E02AE" w14:textId="77777777" w:rsidTr="00D07E36">
        <w:tc>
          <w:tcPr>
            <w:tcW w:w="1890" w:type="dxa"/>
            <w:shd w:val="clear" w:color="auto" w:fill="FFD966" w:themeFill="accent4" w:themeFillTint="99"/>
          </w:tcPr>
          <w:p w14:paraId="1E33F8E2" w14:textId="77777777" w:rsidR="001A3712" w:rsidRPr="00735BBE" w:rsidRDefault="001A3712" w:rsidP="00055229">
            <w:pPr>
              <w:rPr>
                <w:b/>
              </w:rPr>
            </w:pPr>
          </w:p>
        </w:tc>
        <w:tc>
          <w:tcPr>
            <w:tcW w:w="2070" w:type="dxa"/>
            <w:shd w:val="clear" w:color="auto" w:fill="FFD966" w:themeFill="accent4" w:themeFillTint="99"/>
          </w:tcPr>
          <w:p w14:paraId="4ADFB0B2" w14:textId="77777777" w:rsidR="001A3712" w:rsidRPr="00B756D3" w:rsidRDefault="001A3712" w:rsidP="00055229">
            <w:pPr>
              <w:jc w:val="center"/>
              <w:rPr>
                <w:b/>
                <w:sz w:val="20"/>
                <w:szCs w:val="20"/>
              </w:rPr>
            </w:pPr>
            <w:r w:rsidRPr="00B756D3">
              <w:rPr>
                <w:b/>
                <w:sz w:val="20"/>
                <w:szCs w:val="20"/>
              </w:rPr>
              <w:t>A</w:t>
            </w:r>
          </w:p>
        </w:tc>
        <w:tc>
          <w:tcPr>
            <w:tcW w:w="1991" w:type="dxa"/>
            <w:shd w:val="clear" w:color="auto" w:fill="FFD966" w:themeFill="accent4" w:themeFillTint="99"/>
          </w:tcPr>
          <w:p w14:paraId="028A7828" w14:textId="77777777" w:rsidR="001A3712" w:rsidRPr="00B756D3" w:rsidRDefault="001A3712" w:rsidP="00055229">
            <w:pPr>
              <w:jc w:val="center"/>
              <w:rPr>
                <w:b/>
                <w:sz w:val="20"/>
                <w:szCs w:val="20"/>
              </w:rPr>
            </w:pPr>
            <w:r w:rsidRPr="00B756D3">
              <w:rPr>
                <w:b/>
                <w:sz w:val="20"/>
                <w:szCs w:val="20"/>
              </w:rPr>
              <w:t>B</w:t>
            </w:r>
          </w:p>
        </w:tc>
        <w:tc>
          <w:tcPr>
            <w:tcW w:w="1841" w:type="dxa"/>
            <w:shd w:val="clear" w:color="auto" w:fill="FFD966" w:themeFill="accent4" w:themeFillTint="99"/>
          </w:tcPr>
          <w:p w14:paraId="153041B1" w14:textId="77777777" w:rsidR="001A3712" w:rsidRPr="00B756D3" w:rsidRDefault="001A3712" w:rsidP="00055229">
            <w:pPr>
              <w:jc w:val="center"/>
              <w:rPr>
                <w:b/>
                <w:sz w:val="20"/>
                <w:szCs w:val="20"/>
              </w:rPr>
            </w:pPr>
            <w:r w:rsidRPr="00B756D3">
              <w:rPr>
                <w:b/>
                <w:sz w:val="20"/>
                <w:szCs w:val="20"/>
              </w:rPr>
              <w:t>C</w:t>
            </w:r>
          </w:p>
        </w:tc>
        <w:tc>
          <w:tcPr>
            <w:tcW w:w="1978" w:type="dxa"/>
            <w:shd w:val="clear" w:color="auto" w:fill="FFD966" w:themeFill="accent4" w:themeFillTint="99"/>
          </w:tcPr>
          <w:p w14:paraId="7754EEC1" w14:textId="77777777" w:rsidR="001A3712" w:rsidRPr="00B756D3" w:rsidRDefault="001A3712" w:rsidP="00055229">
            <w:pPr>
              <w:jc w:val="center"/>
              <w:rPr>
                <w:b/>
                <w:sz w:val="20"/>
                <w:szCs w:val="20"/>
              </w:rPr>
            </w:pPr>
            <w:r w:rsidRPr="00B756D3">
              <w:rPr>
                <w:b/>
                <w:sz w:val="20"/>
                <w:szCs w:val="20"/>
              </w:rPr>
              <w:t>D</w:t>
            </w:r>
          </w:p>
        </w:tc>
        <w:tc>
          <w:tcPr>
            <w:tcW w:w="1877" w:type="dxa"/>
            <w:shd w:val="clear" w:color="auto" w:fill="FFD966" w:themeFill="accent4" w:themeFillTint="99"/>
          </w:tcPr>
          <w:p w14:paraId="10584F96" w14:textId="77777777" w:rsidR="001A3712" w:rsidRPr="00B756D3" w:rsidRDefault="001A3712" w:rsidP="00055229">
            <w:pPr>
              <w:jc w:val="center"/>
              <w:rPr>
                <w:b/>
                <w:sz w:val="20"/>
                <w:szCs w:val="20"/>
              </w:rPr>
            </w:pPr>
            <w:r w:rsidRPr="00B756D3">
              <w:rPr>
                <w:b/>
                <w:sz w:val="20"/>
                <w:szCs w:val="20"/>
              </w:rPr>
              <w:t>E</w:t>
            </w:r>
          </w:p>
        </w:tc>
        <w:tc>
          <w:tcPr>
            <w:tcW w:w="2213" w:type="dxa"/>
            <w:shd w:val="clear" w:color="auto" w:fill="FFD966" w:themeFill="accent4" w:themeFillTint="99"/>
          </w:tcPr>
          <w:p w14:paraId="26F1EF82" w14:textId="77777777" w:rsidR="001A3712" w:rsidRPr="00B756D3" w:rsidRDefault="001A3712" w:rsidP="00055229">
            <w:pPr>
              <w:jc w:val="center"/>
              <w:rPr>
                <w:b/>
                <w:sz w:val="20"/>
                <w:szCs w:val="20"/>
              </w:rPr>
            </w:pPr>
            <w:r w:rsidRPr="00B756D3">
              <w:rPr>
                <w:b/>
                <w:sz w:val="20"/>
                <w:szCs w:val="20"/>
              </w:rPr>
              <w:t>F</w:t>
            </w:r>
          </w:p>
        </w:tc>
      </w:tr>
      <w:tr w:rsidR="001A3712" w:rsidRPr="00735BBE" w14:paraId="19056200" w14:textId="77777777" w:rsidTr="00D07E36">
        <w:tc>
          <w:tcPr>
            <w:tcW w:w="1890" w:type="dxa"/>
            <w:shd w:val="clear" w:color="auto" w:fill="FFF2CC" w:themeFill="accent4" w:themeFillTint="33"/>
          </w:tcPr>
          <w:p w14:paraId="3F398662" w14:textId="77777777" w:rsidR="001A3712" w:rsidRPr="00735BBE" w:rsidRDefault="001A3712" w:rsidP="00055229">
            <w:pPr>
              <w:jc w:val="center"/>
              <w:rPr>
                <w:b/>
              </w:rPr>
            </w:pPr>
            <w:r w:rsidRPr="00735BBE">
              <w:rPr>
                <w:b/>
              </w:rPr>
              <w:t>COLLEGE NAME</w:t>
            </w:r>
          </w:p>
        </w:tc>
        <w:tc>
          <w:tcPr>
            <w:tcW w:w="2070" w:type="dxa"/>
            <w:shd w:val="clear" w:color="auto" w:fill="FFF2CC" w:themeFill="accent4" w:themeFillTint="33"/>
          </w:tcPr>
          <w:p w14:paraId="1CE527C8" w14:textId="77777777" w:rsidR="001A3712" w:rsidRPr="00735BBE" w:rsidRDefault="001A3712" w:rsidP="00055229">
            <w:pPr>
              <w:jc w:val="center"/>
              <w:rPr>
                <w:b/>
              </w:rPr>
            </w:pPr>
            <w:r w:rsidRPr="00735BBE">
              <w:rPr>
                <w:b/>
              </w:rPr>
              <w:t>Leadership &amp; change management</w:t>
            </w:r>
          </w:p>
        </w:tc>
        <w:tc>
          <w:tcPr>
            <w:tcW w:w="1991" w:type="dxa"/>
            <w:shd w:val="clear" w:color="auto" w:fill="FFF2CC" w:themeFill="accent4" w:themeFillTint="33"/>
          </w:tcPr>
          <w:p w14:paraId="1E33F6C1" w14:textId="77777777" w:rsidR="001A3712" w:rsidRPr="00735BBE" w:rsidRDefault="001A3712" w:rsidP="00055229">
            <w:pPr>
              <w:jc w:val="center"/>
              <w:rPr>
                <w:b/>
              </w:rPr>
            </w:pPr>
            <w:r w:rsidRPr="00735BBE">
              <w:rPr>
                <w:b/>
              </w:rPr>
              <w:t>Broad engagement of employees across divisions</w:t>
            </w:r>
          </w:p>
        </w:tc>
        <w:tc>
          <w:tcPr>
            <w:tcW w:w="1841" w:type="dxa"/>
            <w:shd w:val="clear" w:color="auto" w:fill="FFF2CC" w:themeFill="accent4" w:themeFillTint="33"/>
          </w:tcPr>
          <w:p w14:paraId="4A8E0E73" w14:textId="77777777" w:rsidR="001A3712" w:rsidRPr="00735BBE" w:rsidRDefault="001A3712" w:rsidP="00055229">
            <w:pPr>
              <w:jc w:val="center"/>
              <w:rPr>
                <w:b/>
              </w:rPr>
            </w:pPr>
            <w:r w:rsidRPr="00735BBE">
              <w:rPr>
                <w:b/>
              </w:rPr>
              <w:t>Culture of data &amp; evidence-based decision-making</w:t>
            </w:r>
          </w:p>
        </w:tc>
        <w:tc>
          <w:tcPr>
            <w:tcW w:w="1978" w:type="dxa"/>
            <w:shd w:val="clear" w:color="auto" w:fill="FFF2CC" w:themeFill="accent4" w:themeFillTint="33"/>
          </w:tcPr>
          <w:p w14:paraId="46CD1E6E" w14:textId="77777777" w:rsidR="001A3712" w:rsidRPr="00735BBE" w:rsidRDefault="001A3712" w:rsidP="00055229">
            <w:pPr>
              <w:jc w:val="center"/>
              <w:rPr>
                <w:b/>
              </w:rPr>
            </w:pPr>
            <w:r w:rsidRPr="00735BBE">
              <w:rPr>
                <w:b/>
              </w:rPr>
              <w:t>Organizational learning &amp; development</w:t>
            </w:r>
          </w:p>
        </w:tc>
        <w:tc>
          <w:tcPr>
            <w:tcW w:w="1877" w:type="dxa"/>
            <w:shd w:val="clear" w:color="auto" w:fill="FFF2CC" w:themeFill="accent4" w:themeFillTint="33"/>
          </w:tcPr>
          <w:p w14:paraId="461534D5" w14:textId="77777777" w:rsidR="001A3712" w:rsidRPr="00735BBE" w:rsidRDefault="001A3712" w:rsidP="00055229">
            <w:pPr>
              <w:jc w:val="center"/>
              <w:rPr>
                <w:b/>
              </w:rPr>
            </w:pPr>
            <w:r w:rsidRPr="00735BBE">
              <w:rPr>
                <w:b/>
              </w:rPr>
              <w:t>Resources committed to student success</w:t>
            </w:r>
          </w:p>
        </w:tc>
        <w:tc>
          <w:tcPr>
            <w:tcW w:w="2213" w:type="dxa"/>
            <w:shd w:val="clear" w:color="auto" w:fill="FFF2CC" w:themeFill="accent4" w:themeFillTint="33"/>
          </w:tcPr>
          <w:p w14:paraId="3698A52C" w14:textId="77777777" w:rsidR="001A3712" w:rsidRPr="00735BBE" w:rsidRDefault="001A3712" w:rsidP="00055229">
            <w:pPr>
              <w:jc w:val="center"/>
              <w:rPr>
                <w:b/>
              </w:rPr>
            </w:pPr>
            <w:r w:rsidRPr="00735BBE">
              <w:rPr>
                <w:b/>
              </w:rPr>
              <w:t>Other notes &amp; comments</w:t>
            </w:r>
          </w:p>
        </w:tc>
      </w:tr>
    </w:tbl>
    <w:p w14:paraId="7E8D6BBE" w14:textId="77777777" w:rsidR="00C77714" w:rsidRDefault="00C77714" w:rsidP="004917A5"/>
    <w:sectPr w:rsidR="00C77714" w:rsidSect="006C0DC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3B8DE" w14:textId="77777777" w:rsidR="00BC3543" w:rsidRDefault="00BC3543" w:rsidP="00D07E36">
      <w:pPr>
        <w:spacing w:after="0" w:line="240" w:lineRule="auto"/>
      </w:pPr>
      <w:r>
        <w:separator/>
      </w:r>
    </w:p>
  </w:endnote>
  <w:endnote w:type="continuationSeparator" w:id="0">
    <w:p w14:paraId="5B1814E8" w14:textId="77777777" w:rsidR="00BC3543" w:rsidRDefault="00BC3543" w:rsidP="00D07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EF329" w14:textId="77777777" w:rsidR="00BC3543" w:rsidRDefault="00BC3543" w:rsidP="00D07E36">
      <w:pPr>
        <w:spacing w:after="0" w:line="240" w:lineRule="auto"/>
      </w:pPr>
      <w:r>
        <w:separator/>
      </w:r>
    </w:p>
  </w:footnote>
  <w:footnote w:type="continuationSeparator" w:id="0">
    <w:p w14:paraId="0D932D76" w14:textId="77777777" w:rsidR="00BC3543" w:rsidRDefault="00BC3543" w:rsidP="00D07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E690D"/>
    <w:multiLevelType w:val="hybridMultilevel"/>
    <w:tmpl w:val="B6486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0233E9"/>
    <w:multiLevelType w:val="hybridMultilevel"/>
    <w:tmpl w:val="7B168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065BE9"/>
    <w:multiLevelType w:val="hybridMultilevel"/>
    <w:tmpl w:val="DF16F614"/>
    <w:lvl w:ilvl="0" w:tplc="9FA29D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0E6F10"/>
    <w:multiLevelType w:val="hybridMultilevel"/>
    <w:tmpl w:val="C81EB7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DCB"/>
    <w:rsid w:val="000016E6"/>
    <w:rsid w:val="000A06C9"/>
    <w:rsid w:val="000C2A9C"/>
    <w:rsid w:val="001A3712"/>
    <w:rsid w:val="002F7E19"/>
    <w:rsid w:val="004917A5"/>
    <w:rsid w:val="005D280C"/>
    <w:rsid w:val="006C0DCB"/>
    <w:rsid w:val="007E34ED"/>
    <w:rsid w:val="00845BE9"/>
    <w:rsid w:val="009A032A"/>
    <w:rsid w:val="00A32854"/>
    <w:rsid w:val="00A82C24"/>
    <w:rsid w:val="00AA6D1C"/>
    <w:rsid w:val="00B6502D"/>
    <w:rsid w:val="00B67117"/>
    <w:rsid w:val="00BC3543"/>
    <w:rsid w:val="00C77714"/>
    <w:rsid w:val="00CB6959"/>
    <w:rsid w:val="00D07E36"/>
    <w:rsid w:val="00DB2555"/>
    <w:rsid w:val="00E06D9D"/>
    <w:rsid w:val="00E45F67"/>
    <w:rsid w:val="00E64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55D83"/>
  <w15:chartTrackingRefBased/>
  <w15:docId w15:val="{A76C39E5-0A58-434E-AFD6-C9490ED6D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DCB"/>
    <w:pPr>
      <w:spacing w:after="0" w:line="240" w:lineRule="auto"/>
      <w:ind w:left="720"/>
      <w:contextualSpacing/>
    </w:pPr>
    <w:rPr>
      <w:sz w:val="24"/>
      <w:szCs w:val="24"/>
    </w:rPr>
  </w:style>
  <w:style w:type="paragraph" w:styleId="BalloonText">
    <w:name w:val="Balloon Text"/>
    <w:basedOn w:val="Normal"/>
    <w:link w:val="BalloonTextChar"/>
    <w:uiPriority w:val="99"/>
    <w:semiHidden/>
    <w:unhideWhenUsed/>
    <w:rsid w:val="006C0D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DCB"/>
    <w:rPr>
      <w:rFonts w:ascii="Segoe UI" w:hAnsi="Segoe UI" w:cs="Segoe UI"/>
      <w:sz w:val="18"/>
      <w:szCs w:val="18"/>
    </w:rPr>
  </w:style>
  <w:style w:type="table" w:styleId="TableGrid">
    <w:name w:val="Table Grid"/>
    <w:basedOn w:val="TableNormal"/>
    <w:uiPriority w:val="39"/>
    <w:rsid w:val="001A3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7E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E36"/>
  </w:style>
  <w:style w:type="paragraph" w:styleId="Footer">
    <w:name w:val="footer"/>
    <w:basedOn w:val="Normal"/>
    <w:link w:val="FooterChar"/>
    <w:uiPriority w:val="99"/>
    <w:unhideWhenUsed/>
    <w:rsid w:val="00D07E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E36"/>
  </w:style>
  <w:style w:type="character" w:styleId="Hyperlink">
    <w:name w:val="Hyperlink"/>
    <w:basedOn w:val="DefaultParagraphFont"/>
    <w:uiPriority w:val="99"/>
    <w:unhideWhenUsed/>
    <w:rsid w:val="00C77714"/>
    <w:rPr>
      <w:color w:val="0563C1" w:themeColor="hyperlink"/>
      <w:u w:val="single"/>
    </w:rPr>
  </w:style>
  <w:style w:type="character" w:styleId="UnresolvedMention">
    <w:name w:val="Unresolved Mention"/>
    <w:basedOn w:val="DefaultParagraphFont"/>
    <w:uiPriority w:val="99"/>
    <w:semiHidden/>
    <w:unhideWhenUsed/>
    <w:rsid w:val="00C7771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Newton</dc:creator>
  <cp:keywords/>
  <dc:description/>
  <cp:lastModifiedBy>Gracie Davis</cp:lastModifiedBy>
  <cp:revision>2</cp:revision>
  <cp:lastPrinted>2018-01-30T22:13:00Z</cp:lastPrinted>
  <dcterms:created xsi:type="dcterms:W3CDTF">2018-05-18T15:40:00Z</dcterms:created>
  <dcterms:modified xsi:type="dcterms:W3CDTF">2018-05-18T15:40:00Z</dcterms:modified>
</cp:coreProperties>
</file>