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28B" w:rsidRPr="00FA0C1F" w:rsidRDefault="0009328B" w:rsidP="0009328B">
      <w:pPr>
        <w:spacing w:after="0" w:line="240" w:lineRule="auto"/>
        <w:rPr>
          <w:rFonts w:ascii="Segoe UI" w:eastAsia="Times New Roman" w:hAnsi="Segoe UI" w:cs="Segoe UI"/>
          <w:sz w:val="18"/>
          <w:szCs w:val="18"/>
        </w:rPr>
      </w:pPr>
      <w:r>
        <w:rPr>
          <w:rFonts w:ascii="Segoe UI" w:eastAsia="Times New Roman" w:hAnsi="Segoe UI" w:cs="Segoe UI"/>
          <w:caps/>
          <w:color w:val="666666"/>
          <w:spacing w:val="30"/>
          <w:sz w:val="18"/>
          <w:szCs w:val="18"/>
        </w:rPr>
        <w:t>Faculty focus</w:t>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sidRPr="00276F90">
        <w:rPr>
          <w:rFonts w:ascii="Segoe UI" w:eastAsia="Times New Roman" w:hAnsi="Segoe UI" w:cs="Segoe UI"/>
          <w:caps/>
          <w:color w:val="666666"/>
          <w:spacing w:val="30"/>
          <w:sz w:val="18"/>
          <w:szCs w:val="18"/>
        </w:rPr>
        <w:t>November 12th, 2012</w:t>
      </w:r>
      <w:r w:rsidRPr="00FA0C1F">
        <w:rPr>
          <w:rFonts w:ascii="Segoe UI" w:eastAsia="Times New Roman" w:hAnsi="Segoe UI" w:cs="Segoe UI"/>
          <w:color w:val="282828"/>
          <w:sz w:val="18"/>
          <w:szCs w:val="18"/>
        </w:rPr>
        <w:t xml:space="preserve"> </w:t>
      </w:r>
    </w:p>
    <w:p w:rsidR="0009328B" w:rsidRDefault="0009328B" w:rsidP="0009328B">
      <w:pPr>
        <w:spacing w:after="0" w:line="240" w:lineRule="auto"/>
        <w:outlineLvl w:val="0"/>
        <w:rPr>
          <w:rFonts w:ascii="Segoe UI" w:eastAsia="Times New Roman" w:hAnsi="Segoe UI" w:cs="Segoe UI"/>
          <w:b/>
          <w:color w:val="282828"/>
          <w:kern w:val="36"/>
          <w:sz w:val="28"/>
          <w:szCs w:val="28"/>
        </w:rPr>
      </w:pPr>
    </w:p>
    <w:p w:rsidR="0009328B" w:rsidRPr="00FA0C1F" w:rsidRDefault="0009328B" w:rsidP="0009328B">
      <w:pPr>
        <w:spacing w:after="0" w:line="240" w:lineRule="auto"/>
        <w:jc w:val="center"/>
        <w:outlineLvl w:val="0"/>
        <w:rPr>
          <w:rFonts w:ascii="Segoe UI" w:eastAsia="Times New Roman" w:hAnsi="Segoe UI" w:cs="Segoe UI"/>
          <w:b/>
          <w:color w:val="282828"/>
          <w:kern w:val="36"/>
          <w:sz w:val="28"/>
          <w:szCs w:val="28"/>
        </w:rPr>
      </w:pPr>
      <w:r w:rsidRPr="00FA0C1F">
        <w:rPr>
          <w:rFonts w:ascii="Segoe UI" w:eastAsia="Times New Roman" w:hAnsi="Segoe UI" w:cs="Segoe UI"/>
          <w:b/>
          <w:color w:val="282828"/>
          <w:kern w:val="36"/>
          <w:sz w:val="28"/>
          <w:szCs w:val="28"/>
        </w:rPr>
        <w:t>Five Competencies for Culturally Competent Teaching and Learning</w:t>
      </w:r>
    </w:p>
    <w:p w:rsidR="0009328B" w:rsidRPr="00FA0C1F" w:rsidRDefault="0009328B" w:rsidP="0009328B">
      <w:pPr>
        <w:spacing w:after="0" w:line="240" w:lineRule="auto"/>
        <w:jc w:val="center"/>
        <w:rPr>
          <w:rFonts w:ascii="Segoe UI" w:eastAsia="Times New Roman" w:hAnsi="Segoe UI" w:cs="Segoe UI"/>
        </w:rPr>
      </w:pPr>
      <w:r>
        <w:rPr>
          <w:rFonts w:ascii="Segoe UI" w:eastAsia="Times New Roman" w:hAnsi="Segoe UI" w:cs="Segoe UI"/>
        </w:rPr>
        <w:t>b</w:t>
      </w:r>
      <w:r w:rsidRPr="00FA0C1F">
        <w:rPr>
          <w:rFonts w:ascii="Segoe UI" w:eastAsia="Times New Roman" w:hAnsi="Segoe UI" w:cs="Segoe UI"/>
        </w:rPr>
        <w:t xml:space="preserve">y </w:t>
      </w:r>
      <w:hyperlink r:id="rId8" w:tooltip="Posts by Cheryl Irish EdD and Monica Scrubb EdD" w:history="1">
        <w:r w:rsidRPr="00276F90">
          <w:rPr>
            <w:rFonts w:ascii="Segoe UI" w:eastAsia="Times New Roman" w:hAnsi="Segoe UI" w:cs="Segoe UI"/>
          </w:rPr>
          <w:t xml:space="preserve">Cheryl Irish </w:t>
        </w:r>
        <w:proofErr w:type="spellStart"/>
        <w:r w:rsidRPr="00276F90">
          <w:rPr>
            <w:rFonts w:ascii="Segoe UI" w:eastAsia="Times New Roman" w:hAnsi="Segoe UI" w:cs="Segoe UI"/>
          </w:rPr>
          <w:t>EdD</w:t>
        </w:r>
        <w:proofErr w:type="spellEnd"/>
        <w:r w:rsidRPr="00276F90">
          <w:rPr>
            <w:rFonts w:ascii="Segoe UI" w:eastAsia="Times New Roman" w:hAnsi="Segoe UI" w:cs="Segoe UI"/>
          </w:rPr>
          <w:t xml:space="preserve"> and Monica </w:t>
        </w:r>
        <w:proofErr w:type="spellStart"/>
        <w:r w:rsidRPr="00276F90">
          <w:rPr>
            <w:rFonts w:ascii="Segoe UI" w:eastAsia="Times New Roman" w:hAnsi="Segoe UI" w:cs="Segoe UI"/>
          </w:rPr>
          <w:t>Scrubb</w:t>
        </w:r>
        <w:proofErr w:type="spellEnd"/>
        <w:r w:rsidRPr="00276F90">
          <w:rPr>
            <w:rFonts w:ascii="Segoe UI" w:eastAsia="Times New Roman" w:hAnsi="Segoe UI" w:cs="Segoe UI"/>
          </w:rPr>
          <w:t xml:space="preserve"> </w:t>
        </w:r>
        <w:proofErr w:type="spellStart"/>
        <w:r w:rsidRPr="00276F90">
          <w:rPr>
            <w:rFonts w:ascii="Segoe UI" w:eastAsia="Times New Roman" w:hAnsi="Segoe UI" w:cs="Segoe UI"/>
          </w:rPr>
          <w:t>EdD</w:t>
        </w:r>
        <w:proofErr w:type="spellEnd"/>
      </w:hyperlink>
    </w:p>
    <w:p w:rsidR="0009328B" w:rsidRPr="00276F90" w:rsidRDefault="0009328B" w:rsidP="0009328B">
      <w:pPr>
        <w:spacing w:after="0" w:line="240" w:lineRule="auto"/>
        <w:rPr>
          <w:rFonts w:ascii="Segoe UI" w:eastAsia="Times New Roman" w:hAnsi="Segoe UI" w:cs="Segoe UI"/>
          <w:sz w:val="16"/>
          <w:szCs w:val="16"/>
        </w:rPr>
      </w:pPr>
    </w:p>
    <w:p w:rsidR="0009328B" w:rsidRPr="00FA0C1F" w:rsidRDefault="0009328B" w:rsidP="0009328B">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t>Today’s classrooms require that instructors possess competencies for teaching all students. Robust instructional strategies and culturally sensitive curricula are critical, but more important is an instructor who is sensitive and responsive to the unique differences of each student. Recognizing the need to strengthen specific competencies to reach and teach all students requires an understanding of new ideas and a willingness to view instruction through varied cultural lenses.</w:t>
      </w:r>
    </w:p>
    <w:p w:rsidR="0009328B" w:rsidRDefault="0009328B" w:rsidP="0009328B">
      <w:pPr>
        <w:spacing w:after="0" w:line="240" w:lineRule="auto"/>
        <w:rPr>
          <w:rFonts w:ascii="Segoe UI" w:eastAsia="Times New Roman" w:hAnsi="Segoe UI" w:cs="Segoe UI"/>
          <w:b/>
          <w:bCs/>
          <w:color w:val="282828"/>
          <w:sz w:val="24"/>
          <w:szCs w:val="24"/>
        </w:rPr>
      </w:pPr>
    </w:p>
    <w:p w:rsidR="0009328B" w:rsidRPr="00FA0C1F" w:rsidRDefault="0009328B" w:rsidP="0009328B">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1. Culturally competent teaching and learning facilitates critical reflection.</w:t>
      </w:r>
      <w:r w:rsidRPr="00FA0C1F">
        <w:rPr>
          <w:rFonts w:ascii="Segoe UI" w:eastAsia="Times New Roman" w:hAnsi="Segoe UI" w:cs="Segoe UI"/>
          <w:color w:val="282828"/>
          <w:sz w:val="24"/>
          <w:szCs w:val="24"/>
        </w:rPr>
        <w:t xml:space="preserve"> A critical analysis of one’s own cultural assumptions is foundational to culturally-responsive teaching and learning. Critical reflection on tightly held cultural assumptions is necessary to dislodge misconceptions and stereotypes. Culturally-responsive teaching engages students in self-awareness activities that lead to reflection on cultural assumptions. For example, in situations where beliefs about learning vary diametrically, there may be serious misunderstandings. When one student believes his learning is unrelated to timely arrival to class and another student views punctuality as a sign of respect, or when one student asks many questions and another quietly wrestles with issues in the content, each may struggle with respect or acceptance of the others. While all may be learning, each may view the others as lazy, disruptive, or disrespectful. Diverse instructional groupings allow students to learn about individual differences and to reflect on their own assumptions and beliefs.</w:t>
      </w:r>
    </w:p>
    <w:p w:rsidR="0009328B" w:rsidRDefault="0009328B" w:rsidP="0009328B">
      <w:pPr>
        <w:spacing w:after="0" w:line="240" w:lineRule="auto"/>
        <w:rPr>
          <w:rFonts w:ascii="Segoe UI" w:eastAsia="Times New Roman" w:hAnsi="Segoe UI" w:cs="Segoe UI"/>
          <w:b/>
          <w:bCs/>
          <w:color w:val="282828"/>
          <w:sz w:val="24"/>
          <w:szCs w:val="24"/>
        </w:rPr>
      </w:pPr>
    </w:p>
    <w:p w:rsidR="0009328B" w:rsidRPr="00FA0C1F" w:rsidRDefault="0009328B" w:rsidP="0009328B">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2. Culturally competent teaching and learning demands respect for others.</w:t>
      </w:r>
      <w:r w:rsidRPr="00FA0C1F">
        <w:rPr>
          <w:rFonts w:ascii="Segoe UI" w:eastAsia="Times New Roman" w:hAnsi="Segoe UI" w:cs="Segoe UI"/>
          <w:color w:val="282828"/>
          <w:sz w:val="24"/>
          <w:szCs w:val="24"/>
        </w:rPr>
        <w:t xml:space="preserve"> Every student possesses a unique cultural background. Experiences based on various traditions, norms, and values inform ways of knowing and learning. Learning communities with many ways of knowing and learning benefit everyone. When there is little diversity, the overwhelming presence of “whiteness” may be intimidating to students of color and English Language Learners (ELLS) and may serve to silence their voices. Culturally responsive methods such as inter-cultural communication stimulate respect for the needs of all learners and allow every voice to be heard.</w:t>
      </w:r>
    </w:p>
    <w:p w:rsidR="0009328B" w:rsidRDefault="0009328B" w:rsidP="0009328B">
      <w:pPr>
        <w:spacing w:after="0" w:line="240" w:lineRule="auto"/>
        <w:rPr>
          <w:rFonts w:ascii="Segoe UI" w:eastAsia="Times New Roman" w:hAnsi="Segoe UI" w:cs="Segoe UI"/>
          <w:b/>
          <w:bCs/>
          <w:color w:val="282828"/>
          <w:sz w:val="24"/>
          <w:szCs w:val="24"/>
        </w:rPr>
      </w:pPr>
    </w:p>
    <w:p w:rsidR="0009328B" w:rsidRDefault="0009328B" w:rsidP="0009328B">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3. Culturally competent teaching and learning involves accommodating individual learners.</w:t>
      </w:r>
      <w:r w:rsidRPr="00FA0C1F">
        <w:rPr>
          <w:rFonts w:ascii="Segoe UI" w:eastAsia="Times New Roman" w:hAnsi="Segoe UI" w:cs="Segoe UI"/>
          <w:color w:val="282828"/>
          <w:sz w:val="24"/>
          <w:szCs w:val="24"/>
        </w:rPr>
        <w:t xml:space="preserve"> Respect for the learner is a critical component of effective teaching. In addition to pedagogical and subject matter knowledge, competent instructors relate well to their students and possess dispositions such as compassion, fairness, integrity and respect for diversity. Teaching that is respectful and learner focused will naturally involve individual accommodations.</w:t>
      </w:r>
    </w:p>
    <w:p w:rsidR="0009328B" w:rsidRPr="00FA0C1F" w:rsidRDefault="0009328B" w:rsidP="0009328B">
      <w:pPr>
        <w:spacing w:after="0" w:line="240" w:lineRule="auto"/>
        <w:rPr>
          <w:rFonts w:ascii="Segoe UI" w:eastAsia="Times New Roman" w:hAnsi="Segoe UI" w:cs="Segoe UI"/>
          <w:color w:val="282828"/>
          <w:sz w:val="24"/>
          <w:szCs w:val="24"/>
        </w:rPr>
      </w:pPr>
    </w:p>
    <w:p w:rsidR="0009328B" w:rsidRPr="00FA0C1F" w:rsidRDefault="0009328B" w:rsidP="0009328B">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lastRenderedPageBreak/>
        <w:t>Good teachers not only learn from, but learn about their students. Learning about the cultures and languages of individual students provides a foundation for implementing effective accommodations that facilitate learning. Learning about students involves listening to them, interacting with them, and modeling for them. Effective accommodations for diverse students may include extra time on exams to accommodate the additional load on mental processing, exams in another room where students are able to write, read aloud, then revise their answers to test questions, or time to verbally elaborate on their written responses with the instructor.</w:t>
      </w:r>
    </w:p>
    <w:p w:rsidR="0009328B" w:rsidRPr="0009328B" w:rsidRDefault="0009328B" w:rsidP="0009328B">
      <w:pPr>
        <w:spacing w:after="0" w:line="240" w:lineRule="auto"/>
        <w:rPr>
          <w:rFonts w:ascii="Segoe UI" w:eastAsia="Times New Roman" w:hAnsi="Segoe UI" w:cs="Segoe UI"/>
          <w:b/>
          <w:bCs/>
          <w:color w:val="282828"/>
          <w:sz w:val="16"/>
          <w:szCs w:val="16"/>
        </w:rPr>
      </w:pPr>
    </w:p>
    <w:p w:rsidR="0009328B" w:rsidRDefault="0009328B" w:rsidP="0009328B">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4. Culturally competent teaching and learning requires the use of intercultural communication skills.</w:t>
      </w:r>
      <w:r w:rsidRPr="00FA0C1F">
        <w:rPr>
          <w:rFonts w:ascii="Segoe UI" w:eastAsia="Times New Roman" w:hAnsi="Segoe UI" w:cs="Segoe UI"/>
          <w:color w:val="282828"/>
          <w:sz w:val="24"/>
          <w:szCs w:val="24"/>
        </w:rPr>
        <w:t xml:space="preserve"> Culturally competent instructors are willing to learn from their students; they recognize the potential of intercultural communication as a means for enhancing the learning of the entire learning community. Effective communication with others who are linguistically and culturally different includes the use of techniques like active listening, elaboration, paraphrasing, and restatement.</w:t>
      </w:r>
    </w:p>
    <w:p w:rsidR="0009328B" w:rsidRPr="00FA0C1F" w:rsidRDefault="0009328B" w:rsidP="0009328B">
      <w:pPr>
        <w:spacing w:after="0" w:line="240" w:lineRule="auto"/>
        <w:rPr>
          <w:rFonts w:ascii="Segoe UI" w:eastAsia="Times New Roman" w:hAnsi="Segoe UI" w:cs="Segoe UI"/>
          <w:color w:val="282828"/>
          <w:sz w:val="24"/>
          <w:szCs w:val="24"/>
        </w:rPr>
      </w:pPr>
    </w:p>
    <w:p w:rsidR="0009328B" w:rsidRPr="00FA0C1F" w:rsidRDefault="0009328B" w:rsidP="0009328B">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t>Active listening is a process where both the sender and receiver are fully engaged, the listener is focused and attentive, and distractions are minimized. Active listening strategies are especially important when participants speak different languages. Intercultural communication strategies such as active listening inform learning and facilitate critical reflection.</w:t>
      </w:r>
    </w:p>
    <w:p w:rsidR="0009328B" w:rsidRPr="0009328B" w:rsidRDefault="0009328B" w:rsidP="0009328B">
      <w:pPr>
        <w:spacing w:after="0" w:line="240" w:lineRule="auto"/>
        <w:rPr>
          <w:rFonts w:ascii="Segoe UI" w:eastAsia="Times New Roman" w:hAnsi="Segoe UI" w:cs="Segoe UI"/>
          <w:b/>
          <w:bCs/>
          <w:color w:val="282828"/>
          <w:sz w:val="16"/>
          <w:szCs w:val="16"/>
        </w:rPr>
      </w:pPr>
    </w:p>
    <w:p w:rsidR="0009328B" w:rsidRPr="00FA0C1F" w:rsidRDefault="0009328B" w:rsidP="0009328B">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 xml:space="preserve">5. Culturally competent teaching and learning requires focused activities and intentionally structured environments. </w:t>
      </w:r>
      <w:r w:rsidRPr="00FA0C1F">
        <w:rPr>
          <w:rFonts w:ascii="Segoe UI" w:eastAsia="Times New Roman" w:hAnsi="Segoe UI" w:cs="Segoe UI"/>
          <w:color w:val="282828"/>
          <w:sz w:val="24"/>
          <w:szCs w:val="24"/>
        </w:rPr>
        <w:t>Perspective-taking behavior requires an understanding of norms, values, and traditions that have informed the other’s worldview and learning behaviors. Ranking the value of ideas such as tradition, religion, independence, education, work, health, respect, honesty, food, etc. and a review of personal rankings with other class members may lead to meaningful conversations. Such activities may encourage students to engage in critical reflection on deeply held assumptions related to values and beliefs. Intentional groupings of students with others from different racial groups have been shown to have a positive impact on students—especially white students. A study by Chang (1996) demonstrated that college students are more likely to discuss racial issues when they are part of a diverse student body and when they participate in racially diverse groups in class.</w:t>
      </w:r>
    </w:p>
    <w:p w:rsidR="0009328B" w:rsidRPr="0009328B" w:rsidRDefault="0009328B" w:rsidP="0009328B">
      <w:pPr>
        <w:spacing w:after="0" w:line="240" w:lineRule="auto"/>
        <w:rPr>
          <w:rFonts w:ascii="Segoe UI" w:eastAsia="Times New Roman" w:hAnsi="Segoe UI" w:cs="Segoe UI"/>
          <w:i/>
          <w:iCs/>
          <w:color w:val="282828"/>
          <w:sz w:val="16"/>
          <w:szCs w:val="16"/>
        </w:rPr>
      </w:pPr>
    </w:p>
    <w:p w:rsidR="0009328B" w:rsidRPr="00FA0C1F" w:rsidRDefault="0009328B" w:rsidP="0009328B">
      <w:pPr>
        <w:spacing w:after="0" w:line="240" w:lineRule="auto"/>
        <w:rPr>
          <w:rFonts w:ascii="Segoe UI" w:eastAsia="Times New Roman" w:hAnsi="Segoe UI" w:cs="Segoe UI"/>
          <w:color w:val="282828"/>
          <w:sz w:val="20"/>
          <w:szCs w:val="20"/>
        </w:rPr>
      </w:pPr>
      <w:r w:rsidRPr="00276F90">
        <w:rPr>
          <w:rFonts w:ascii="Segoe UI" w:eastAsia="Times New Roman" w:hAnsi="Segoe UI" w:cs="Segoe UI"/>
          <w:i/>
          <w:iCs/>
          <w:color w:val="282828"/>
          <w:sz w:val="20"/>
          <w:szCs w:val="20"/>
        </w:rPr>
        <w:t xml:space="preserve">Dr. Cheryl Irish is a professor and the NCATE coordinator at the School of Educational Leadership, College of Adult and Professional Studies at Indiana Wesleyan University. Dr. Monica </w:t>
      </w:r>
      <w:proofErr w:type="spellStart"/>
      <w:r w:rsidRPr="00276F90">
        <w:rPr>
          <w:rFonts w:ascii="Segoe UI" w:eastAsia="Times New Roman" w:hAnsi="Segoe UI" w:cs="Segoe UI"/>
          <w:i/>
          <w:iCs/>
          <w:color w:val="282828"/>
          <w:sz w:val="20"/>
          <w:szCs w:val="20"/>
        </w:rPr>
        <w:t>Scrubb</w:t>
      </w:r>
      <w:proofErr w:type="spellEnd"/>
      <w:r w:rsidRPr="00276F90">
        <w:rPr>
          <w:rFonts w:ascii="Segoe UI" w:eastAsia="Times New Roman" w:hAnsi="Segoe UI" w:cs="Segoe UI"/>
          <w:i/>
          <w:iCs/>
          <w:color w:val="282828"/>
          <w:sz w:val="20"/>
          <w:szCs w:val="20"/>
        </w:rPr>
        <w:t xml:space="preserve"> is an assistant professor at the School of Educational Leadership, College of Adult and Professional Studies at Indiana Wesleyan University.</w:t>
      </w:r>
    </w:p>
    <w:p w:rsidR="0009328B" w:rsidRPr="00276F90" w:rsidRDefault="0009328B" w:rsidP="0009328B">
      <w:pPr>
        <w:spacing w:after="0" w:line="240" w:lineRule="auto"/>
        <w:rPr>
          <w:rFonts w:ascii="Segoe UI" w:eastAsia="Times New Roman" w:hAnsi="Segoe UI" w:cs="Segoe UI"/>
          <w:color w:val="282828"/>
          <w:sz w:val="16"/>
          <w:szCs w:val="16"/>
        </w:rPr>
      </w:pPr>
    </w:p>
    <w:p w:rsidR="0009328B" w:rsidRPr="00FA0C1F" w:rsidRDefault="0009328B" w:rsidP="0009328B">
      <w:pPr>
        <w:spacing w:after="0" w:line="240" w:lineRule="auto"/>
        <w:rPr>
          <w:rFonts w:ascii="Segoe UI" w:eastAsia="Times New Roman" w:hAnsi="Segoe UI" w:cs="Segoe UI"/>
          <w:color w:val="282828"/>
          <w:sz w:val="20"/>
          <w:szCs w:val="20"/>
        </w:rPr>
      </w:pPr>
      <w:r w:rsidRPr="00FA0C1F">
        <w:rPr>
          <w:rFonts w:ascii="Segoe UI" w:eastAsia="Times New Roman" w:hAnsi="Segoe UI" w:cs="Segoe UI"/>
          <w:color w:val="282828"/>
          <w:sz w:val="20"/>
          <w:szCs w:val="20"/>
        </w:rPr>
        <w:t xml:space="preserve">Reference: Chang, M. (1996). </w:t>
      </w:r>
      <w:r w:rsidRPr="00276F90">
        <w:rPr>
          <w:rFonts w:ascii="Segoe UI" w:eastAsia="Times New Roman" w:hAnsi="Segoe UI" w:cs="Segoe UI"/>
          <w:i/>
          <w:iCs/>
          <w:color w:val="282828"/>
          <w:sz w:val="20"/>
          <w:szCs w:val="20"/>
        </w:rPr>
        <w:t>Racial Diversity in Higher Education: Does a Racially Mixed Student Population Affect Educational Outcomes?</w:t>
      </w:r>
      <w:r w:rsidRPr="00FA0C1F">
        <w:rPr>
          <w:rFonts w:ascii="Segoe UI" w:eastAsia="Times New Roman" w:hAnsi="Segoe UI" w:cs="Segoe UI"/>
          <w:color w:val="282828"/>
          <w:sz w:val="20"/>
          <w:szCs w:val="20"/>
        </w:rPr>
        <w:t xml:space="preserve"> (unpublished doctoral dissertation, University of California, Los Angeles).</w:t>
      </w:r>
    </w:p>
    <w:p w:rsidR="0009328B" w:rsidRDefault="0009328B" w:rsidP="0009328B">
      <w:pPr>
        <w:spacing w:after="0" w:line="240" w:lineRule="auto"/>
        <w:rPr>
          <w:rFonts w:ascii="Segoe UI" w:hAnsi="Segoe UI" w:cs="Segoe UI"/>
          <w:sz w:val="20"/>
          <w:szCs w:val="20"/>
        </w:rPr>
      </w:pPr>
    </w:p>
    <w:p w:rsidR="0009328B" w:rsidRPr="00FA0C1F" w:rsidRDefault="0009328B" w:rsidP="0009328B">
      <w:pPr>
        <w:spacing w:after="0" w:line="240" w:lineRule="auto"/>
        <w:rPr>
          <w:rFonts w:ascii="Segoe UI" w:hAnsi="Segoe UI" w:cs="Segoe UI"/>
        </w:rPr>
      </w:pPr>
      <w:hyperlink r:id="rId9" w:history="1">
        <w:r w:rsidRPr="00276F90">
          <w:rPr>
            <w:rStyle w:val="Hyperlink"/>
            <w:rFonts w:ascii="Segoe UI" w:hAnsi="Segoe UI" w:cs="Segoe UI"/>
            <w:sz w:val="20"/>
            <w:szCs w:val="20"/>
          </w:rPr>
          <w:t>https://www.facultyfocus.com/articles/teaching-and-learning/five-competencies-for-culturally-competent-teaching-and-learning/</w:t>
        </w:r>
      </w:hyperlink>
    </w:p>
    <w:p w:rsidR="00DA5083" w:rsidRPr="0009328B" w:rsidRDefault="00DA5083" w:rsidP="0009328B">
      <w:pPr>
        <w:spacing w:after="0" w:line="240" w:lineRule="auto"/>
        <w:jc w:val="center"/>
        <w:textAlignment w:val="baseline"/>
        <w:outlineLvl w:val="0"/>
        <w:rPr>
          <w:rFonts w:ascii="Segoe UI" w:eastAsia="Times New Roman" w:hAnsi="Segoe UI" w:cs="Segoe UI"/>
          <w:b/>
          <w:color w:val="303030"/>
          <w:kern w:val="36"/>
          <w:sz w:val="24"/>
          <w:szCs w:val="24"/>
        </w:rPr>
      </w:pPr>
      <w:r w:rsidRPr="0009328B">
        <w:rPr>
          <w:rFonts w:ascii="Segoe UI" w:eastAsia="Times New Roman" w:hAnsi="Segoe UI" w:cs="Segoe UI"/>
          <w:b/>
          <w:color w:val="303030"/>
          <w:kern w:val="36"/>
          <w:sz w:val="24"/>
          <w:szCs w:val="24"/>
        </w:rPr>
        <w:lastRenderedPageBreak/>
        <w:t>A Framework for Culturally Responsive Teaching</w:t>
      </w:r>
    </w:p>
    <w:p w:rsidR="00DA5083" w:rsidRDefault="00DA5083" w:rsidP="0009328B">
      <w:pPr>
        <w:spacing w:after="0" w:line="240" w:lineRule="auto"/>
        <w:jc w:val="center"/>
        <w:textAlignment w:val="baseline"/>
        <w:rPr>
          <w:rFonts w:ascii="Segoe UI" w:eastAsia="Times New Roman" w:hAnsi="Segoe UI" w:cs="Segoe UI"/>
          <w:i/>
          <w:iCs/>
          <w:color w:val="000000"/>
          <w:sz w:val="20"/>
          <w:szCs w:val="20"/>
        </w:rPr>
      </w:pPr>
      <w:r w:rsidRPr="00DA5083">
        <w:rPr>
          <w:rFonts w:ascii="Segoe UI" w:eastAsia="Times New Roman" w:hAnsi="Segoe UI" w:cs="Segoe UI"/>
          <w:i/>
          <w:iCs/>
          <w:color w:val="000000"/>
          <w:sz w:val="20"/>
          <w:szCs w:val="20"/>
        </w:rPr>
        <w:t xml:space="preserve">Raymond J. </w:t>
      </w:r>
      <w:proofErr w:type="spellStart"/>
      <w:r w:rsidRPr="00DA5083">
        <w:rPr>
          <w:rFonts w:ascii="Segoe UI" w:eastAsia="Times New Roman" w:hAnsi="Segoe UI" w:cs="Segoe UI"/>
          <w:i/>
          <w:iCs/>
          <w:color w:val="000000"/>
          <w:sz w:val="20"/>
          <w:szCs w:val="20"/>
        </w:rPr>
        <w:t>Wlodkowski</w:t>
      </w:r>
      <w:proofErr w:type="spellEnd"/>
      <w:r w:rsidRPr="00DA5083">
        <w:rPr>
          <w:rFonts w:ascii="Segoe UI" w:eastAsia="Times New Roman" w:hAnsi="Segoe UI" w:cs="Segoe UI"/>
          <w:i/>
          <w:iCs/>
          <w:color w:val="000000"/>
          <w:sz w:val="20"/>
          <w:szCs w:val="20"/>
        </w:rPr>
        <w:t xml:space="preserve"> and Margery B. Ginsberg</w:t>
      </w:r>
    </w:p>
    <w:p w:rsidR="0009328B" w:rsidRPr="00DA5083" w:rsidRDefault="0009328B" w:rsidP="0009328B">
      <w:pPr>
        <w:spacing w:after="0" w:line="240" w:lineRule="auto"/>
        <w:jc w:val="center"/>
        <w:textAlignment w:val="baseline"/>
        <w:rPr>
          <w:rFonts w:ascii="Segoe UI" w:eastAsia="Times New Roman" w:hAnsi="Segoe UI" w:cs="Segoe UI"/>
          <w:i/>
          <w:iCs/>
          <w:color w:val="000000"/>
          <w:sz w:val="20"/>
          <w:szCs w:val="20"/>
        </w:rPr>
      </w:pPr>
    </w:p>
    <w:p w:rsidR="0009328B" w:rsidRDefault="0009328B" w:rsidP="0009328B">
      <w:pPr>
        <w:pBdr>
          <w:top w:val="single" w:sz="4" w:space="1" w:color="auto"/>
        </w:pBdr>
        <w:spacing w:after="0" w:line="240" w:lineRule="auto"/>
        <w:textAlignment w:val="baseline"/>
        <w:rPr>
          <w:rFonts w:ascii="Segoe UI" w:eastAsia="Times New Roman" w:hAnsi="Segoe UI" w:cs="Segoe UI"/>
          <w:b/>
          <w:bCs/>
          <w:color w:val="404040" w:themeColor="text1" w:themeTint="BF"/>
          <w:sz w:val="20"/>
          <w:szCs w:val="20"/>
        </w:rPr>
      </w:pPr>
    </w:p>
    <w:p w:rsidR="00DA5083" w:rsidRPr="0009328B" w:rsidRDefault="00DA5083" w:rsidP="0009328B">
      <w:pPr>
        <w:spacing w:after="0" w:line="240" w:lineRule="auto"/>
        <w:textAlignment w:val="baseline"/>
        <w:rPr>
          <w:rFonts w:ascii="Segoe UI" w:eastAsia="Times New Roman" w:hAnsi="Segoe UI" w:cs="Segoe UI"/>
          <w:b/>
          <w:bCs/>
          <w:color w:val="404040" w:themeColor="text1" w:themeTint="BF"/>
          <w:sz w:val="20"/>
          <w:szCs w:val="20"/>
        </w:rPr>
      </w:pPr>
      <w:r w:rsidRPr="0009328B">
        <w:rPr>
          <w:rFonts w:ascii="Segoe UI" w:eastAsia="Times New Roman" w:hAnsi="Segoe UI" w:cs="Segoe UI"/>
          <w:b/>
          <w:bCs/>
          <w:color w:val="404040" w:themeColor="text1" w:themeTint="BF"/>
          <w:sz w:val="20"/>
          <w:szCs w:val="20"/>
        </w:rPr>
        <w:t>Research has shown that no one teaching strategy will consistently engage all learners. The key is helping students relate lesson content to their own backgrounds.</w:t>
      </w:r>
    </w:p>
    <w:p w:rsidR="00DA5083" w:rsidRPr="0009328B" w:rsidRDefault="00DA5083" w:rsidP="0009328B">
      <w:pPr>
        <w:spacing w:after="0" w:line="240" w:lineRule="auto"/>
        <w:textAlignment w:val="baseline"/>
        <w:rPr>
          <w:rFonts w:ascii="Segoe UI" w:eastAsia="Times New Roman" w:hAnsi="Segoe UI" w:cs="Segoe UI"/>
          <w:color w:val="404040" w:themeColor="text1" w:themeTint="BF"/>
          <w:sz w:val="10"/>
          <w:szCs w:val="16"/>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To be effective in multicultural classrooms, teachers must relate teaching content to the cultural backgrounds of their students. According to the research, teaching that ignores student norms of behavior and communication provokes student resistance, while teaching that is responsive prompts student involvement (</w:t>
      </w:r>
      <w:proofErr w:type="spellStart"/>
      <w:r w:rsidRPr="00DA5083">
        <w:rPr>
          <w:rFonts w:ascii="Segoe UI" w:eastAsia="Times New Roman" w:hAnsi="Segoe UI" w:cs="Segoe UI"/>
          <w:color w:val="000000"/>
          <w:sz w:val="20"/>
          <w:szCs w:val="20"/>
        </w:rPr>
        <w:t>Olneck</w:t>
      </w:r>
      <w:proofErr w:type="spellEnd"/>
      <w:r w:rsidRPr="00DA5083">
        <w:rPr>
          <w:rFonts w:ascii="Segoe UI" w:eastAsia="Times New Roman" w:hAnsi="Segoe UI" w:cs="Segoe UI"/>
          <w:color w:val="000000"/>
          <w:sz w:val="20"/>
          <w:szCs w:val="20"/>
        </w:rPr>
        <w:t xml:space="preserve"> 1995). There is growing evidence that strong, continual engagement among diverse students requires a holistic approach—that is, an approach where </w:t>
      </w:r>
      <w:r w:rsidRPr="0009328B">
        <w:rPr>
          <w:rFonts w:ascii="Segoe UI" w:eastAsia="Times New Roman" w:hAnsi="Segoe UI" w:cs="Segoe UI"/>
          <w:b/>
          <w:color w:val="404040" w:themeColor="text1" w:themeTint="BF"/>
          <w:sz w:val="20"/>
          <w:szCs w:val="20"/>
        </w:rPr>
        <w:t>the how, what, and why of teaching are unified and meaningful</w:t>
      </w:r>
      <w:r w:rsidRPr="0009328B">
        <w:rPr>
          <w:rFonts w:ascii="Segoe UI" w:eastAsia="Times New Roman" w:hAnsi="Segoe UI" w:cs="Segoe UI"/>
          <w:color w:val="404040" w:themeColor="text1" w:themeTint="BF"/>
          <w:sz w:val="20"/>
          <w:szCs w:val="20"/>
        </w:rPr>
        <w:t xml:space="preserve"> </w:t>
      </w:r>
      <w:r w:rsidRPr="00DA5083">
        <w:rPr>
          <w:rFonts w:ascii="Segoe UI" w:eastAsia="Times New Roman" w:hAnsi="Segoe UI" w:cs="Segoe UI"/>
          <w:color w:val="000000"/>
          <w:sz w:val="20"/>
          <w:szCs w:val="20"/>
        </w:rPr>
        <w:t>(</w:t>
      </w:r>
      <w:proofErr w:type="spellStart"/>
      <w:r w:rsidRPr="00DA5083">
        <w:rPr>
          <w:rFonts w:ascii="Segoe UI" w:eastAsia="Times New Roman" w:hAnsi="Segoe UI" w:cs="Segoe UI"/>
          <w:color w:val="000000"/>
          <w:sz w:val="20"/>
          <w:szCs w:val="20"/>
        </w:rPr>
        <w:t>Ogbu</w:t>
      </w:r>
      <w:proofErr w:type="spellEnd"/>
      <w:r w:rsidRPr="00DA5083">
        <w:rPr>
          <w:rFonts w:ascii="Segoe UI" w:eastAsia="Times New Roman" w:hAnsi="Segoe UI" w:cs="Segoe UI"/>
          <w:color w:val="000000"/>
          <w:sz w:val="20"/>
          <w:szCs w:val="20"/>
        </w:rPr>
        <w:t xml:space="preserve"> 1995).</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09328B" w:rsidRDefault="00DA5083" w:rsidP="00DA5083">
      <w:pPr>
        <w:spacing w:after="0" w:line="240" w:lineRule="auto"/>
        <w:textAlignment w:val="baseline"/>
        <w:rPr>
          <w:rFonts w:ascii="Segoe UI" w:eastAsia="Times New Roman" w:hAnsi="Segoe UI" w:cs="Segoe UI"/>
          <w:b/>
          <w:color w:val="404040" w:themeColor="text1" w:themeTint="BF"/>
          <w:sz w:val="20"/>
          <w:szCs w:val="20"/>
        </w:rPr>
      </w:pPr>
      <w:r w:rsidRPr="00DA5083">
        <w:rPr>
          <w:rFonts w:ascii="Segoe UI" w:eastAsia="Times New Roman" w:hAnsi="Segoe UI" w:cs="Segoe UI"/>
          <w:color w:val="000000"/>
          <w:sz w:val="20"/>
          <w:szCs w:val="20"/>
        </w:rPr>
        <w:t xml:space="preserve">To that end, we have developed a comprehensive model of culturally responsive teaching: </w:t>
      </w:r>
      <w:r w:rsidRPr="0009328B">
        <w:rPr>
          <w:rFonts w:ascii="Segoe UI" w:eastAsia="Times New Roman" w:hAnsi="Segoe UI" w:cs="Segoe UI"/>
          <w:b/>
          <w:color w:val="404040" w:themeColor="text1" w:themeTint="BF"/>
          <w:sz w:val="20"/>
          <w:szCs w:val="20"/>
        </w:rPr>
        <w:t>a pedagogy that crosses disciplines and cultures to engage learners while respecting their cultural integrity. It accommodates the dynamic mix of race, ethnicity, class, gender, region, religion, and family that contributes to every student's cultural identity. The foundation for this approach lies in theories of intrinsic motivation.</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09328B" w:rsidRDefault="00DA5083" w:rsidP="00DA5083">
      <w:pPr>
        <w:spacing w:after="0" w:line="240" w:lineRule="auto"/>
        <w:textAlignment w:val="baseline"/>
        <w:rPr>
          <w:rFonts w:ascii="Segoe UI" w:eastAsia="Times New Roman" w:hAnsi="Segoe UI" w:cs="Segoe UI"/>
          <w:sz w:val="20"/>
          <w:szCs w:val="20"/>
        </w:rPr>
      </w:pPr>
      <w:r w:rsidRPr="00DA5083">
        <w:rPr>
          <w:rFonts w:ascii="Segoe UI" w:eastAsia="Times New Roman" w:hAnsi="Segoe UI" w:cs="Segoe UI"/>
          <w:color w:val="000000"/>
          <w:sz w:val="20"/>
          <w:szCs w:val="20"/>
        </w:rPr>
        <w:t xml:space="preserve">Before we outline our framework for culturally responsive teaching, we will address the bond of motivation and culture, and analyze some of the social and institutional resistance to teaching based on principles of intrinsic motivation. Understanding these relationships provides a clearer view of the challenges we must overcome if we </w:t>
      </w:r>
      <w:r w:rsidRPr="0009328B">
        <w:rPr>
          <w:rFonts w:ascii="Segoe UI" w:eastAsia="Times New Roman" w:hAnsi="Segoe UI" w:cs="Segoe UI"/>
          <w:sz w:val="20"/>
          <w:szCs w:val="20"/>
        </w:rPr>
        <w:t>are to genuinely transform teaching and successfully engage all students.</w:t>
      </w:r>
    </w:p>
    <w:p w:rsidR="00DA5083" w:rsidRPr="0009328B" w:rsidRDefault="00DA5083" w:rsidP="00DA5083">
      <w:pPr>
        <w:spacing w:after="0" w:line="240" w:lineRule="auto"/>
        <w:textAlignment w:val="baseline"/>
        <w:outlineLvl w:val="1"/>
        <w:rPr>
          <w:rFonts w:ascii="Segoe UI" w:eastAsia="Times New Roman" w:hAnsi="Segoe UI" w:cs="Segoe UI"/>
          <w:b/>
          <w:bCs/>
          <w:sz w:val="20"/>
          <w:szCs w:val="20"/>
        </w:rPr>
      </w:pPr>
    </w:p>
    <w:p w:rsidR="00DA5083" w:rsidRPr="0009328B" w:rsidRDefault="00DA5083" w:rsidP="00DA5083">
      <w:pPr>
        <w:spacing w:after="0" w:line="240" w:lineRule="auto"/>
        <w:textAlignment w:val="baseline"/>
        <w:outlineLvl w:val="1"/>
        <w:rPr>
          <w:rFonts w:ascii="Segoe UI" w:eastAsia="Times New Roman" w:hAnsi="Segoe UI" w:cs="Segoe UI"/>
          <w:b/>
          <w:bCs/>
          <w:sz w:val="20"/>
          <w:szCs w:val="20"/>
        </w:rPr>
      </w:pPr>
      <w:r w:rsidRPr="0009328B">
        <w:rPr>
          <w:rFonts w:ascii="Segoe UI" w:eastAsia="Times New Roman" w:hAnsi="Segoe UI" w:cs="Segoe UI"/>
          <w:b/>
          <w:bCs/>
          <w:sz w:val="20"/>
          <w:szCs w:val="20"/>
        </w:rPr>
        <w:t>Motivation Is Inseparable from Culture</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Engagement is the visible outcome of motivation, the natural capacity to direct energy in the pursuit of a goal. Our emotions influence our motivation. In turn, our emotions are socialized through culture—the deeply learned confluence of language, beliefs, values, and behaviors that pervades every aspect of our lives. For example, one person working at a task feels frustrated and stops, while another person working at the task feels joy and continues. Yet another person, with an even different set of cultural beliefs, feels frustrated at the task but continues with increased determination. What may elicit that frustration, joy, or determination may differ across cultures, because cultures differ in their definitions of novelty, hazard, opportunity, and gratification, and in their definitions of appropriate responses. Thus, the response a student </w:t>
      </w:r>
      <w:proofErr w:type="gramStart"/>
      <w:r w:rsidRPr="00DA5083">
        <w:rPr>
          <w:rFonts w:ascii="Segoe UI" w:eastAsia="Times New Roman" w:hAnsi="Segoe UI" w:cs="Segoe UI"/>
          <w:color w:val="000000"/>
          <w:sz w:val="20"/>
          <w:szCs w:val="20"/>
        </w:rPr>
        <w:t>has to</w:t>
      </w:r>
      <w:proofErr w:type="gramEnd"/>
      <w:r w:rsidRPr="00DA5083">
        <w:rPr>
          <w:rFonts w:ascii="Segoe UI" w:eastAsia="Times New Roman" w:hAnsi="Segoe UI" w:cs="Segoe UI"/>
          <w:color w:val="000000"/>
          <w:sz w:val="20"/>
          <w:szCs w:val="20"/>
        </w:rPr>
        <w:t xml:space="preserve"> a learning activity reflects his or her culture.</w:t>
      </w:r>
    </w:p>
    <w:p w:rsidR="00DA5083" w:rsidRPr="0009328B" w:rsidRDefault="00DA5083" w:rsidP="00DA5083">
      <w:pPr>
        <w:spacing w:after="0" w:line="240" w:lineRule="auto"/>
        <w:textAlignment w:val="baseline"/>
        <w:rPr>
          <w:rFonts w:ascii="Segoe UI" w:eastAsia="Times New Roman" w:hAnsi="Segoe UI" w:cs="Segoe UI"/>
          <w:color w:val="000000"/>
          <w:sz w:val="16"/>
          <w:szCs w:val="16"/>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While the internal logic as to why a student does something may not coincide with that of the teacher, it is, nonetheless, present. And, to be effective, the teacher must understand that perspective. Rather than trying to know </w:t>
      </w:r>
      <w:r w:rsidRPr="00DA5083">
        <w:rPr>
          <w:rFonts w:ascii="Segoe UI" w:eastAsia="Times New Roman" w:hAnsi="Segoe UI" w:cs="Segoe UI"/>
          <w:i/>
          <w:iCs/>
          <w:color w:val="000000"/>
          <w:sz w:val="20"/>
          <w:szCs w:val="20"/>
          <w:bdr w:val="none" w:sz="0" w:space="0" w:color="auto" w:frame="1"/>
        </w:rPr>
        <w:t>what to do to</w:t>
      </w:r>
      <w:r w:rsidRPr="00DA5083">
        <w:rPr>
          <w:rFonts w:ascii="Segoe UI" w:eastAsia="Times New Roman" w:hAnsi="Segoe UI" w:cs="Segoe UI"/>
          <w:color w:val="000000"/>
          <w:sz w:val="20"/>
          <w:szCs w:val="20"/>
        </w:rPr>
        <w:t xml:space="preserve"> students, we must work with students to interpret and deepen their existing knowledge and enthusiasm for learning. From this viewpoint, motivationally effective teaching </w:t>
      </w:r>
      <w:r w:rsidRPr="00DA5083">
        <w:rPr>
          <w:rFonts w:ascii="Segoe UI" w:eastAsia="Times New Roman" w:hAnsi="Segoe UI" w:cs="Segoe UI"/>
          <w:i/>
          <w:iCs/>
          <w:color w:val="000000"/>
          <w:sz w:val="20"/>
          <w:szCs w:val="20"/>
          <w:bdr w:val="none" w:sz="0" w:space="0" w:color="auto" w:frame="1"/>
        </w:rPr>
        <w:t>is</w:t>
      </w:r>
      <w:r w:rsidRPr="00DA5083">
        <w:rPr>
          <w:rFonts w:ascii="Segoe UI" w:eastAsia="Times New Roman" w:hAnsi="Segoe UI" w:cs="Segoe UI"/>
          <w:color w:val="000000"/>
          <w:sz w:val="20"/>
          <w:szCs w:val="20"/>
        </w:rPr>
        <w:t xml:space="preserve"> culturally responsive teaching.</w:t>
      </w:r>
    </w:p>
    <w:p w:rsidR="00DA5083" w:rsidRPr="0009328B" w:rsidRDefault="00DA5083" w:rsidP="00DA5083">
      <w:pPr>
        <w:spacing w:after="0" w:line="240" w:lineRule="auto"/>
        <w:textAlignment w:val="baseline"/>
        <w:outlineLvl w:val="1"/>
        <w:rPr>
          <w:rFonts w:ascii="Segoe UI" w:eastAsia="Times New Roman" w:hAnsi="Segoe UI" w:cs="Segoe UI"/>
          <w:b/>
          <w:bCs/>
          <w:color w:val="393939"/>
          <w:sz w:val="16"/>
          <w:szCs w:val="16"/>
        </w:rPr>
      </w:pPr>
    </w:p>
    <w:p w:rsidR="00DA5083" w:rsidRPr="00DA5083" w:rsidRDefault="00DA5083" w:rsidP="00DA5083">
      <w:pPr>
        <w:spacing w:after="0" w:line="240" w:lineRule="auto"/>
        <w:textAlignment w:val="baseline"/>
        <w:outlineLvl w:val="1"/>
        <w:rPr>
          <w:rFonts w:ascii="Segoe UI" w:eastAsia="Times New Roman" w:hAnsi="Segoe UI" w:cs="Segoe UI"/>
          <w:b/>
          <w:bCs/>
          <w:color w:val="393939"/>
          <w:sz w:val="20"/>
          <w:szCs w:val="20"/>
        </w:rPr>
      </w:pPr>
      <w:r w:rsidRPr="00DA5083">
        <w:rPr>
          <w:rFonts w:ascii="Segoe UI" w:eastAsia="Times New Roman" w:hAnsi="Segoe UI" w:cs="Segoe UI"/>
          <w:b/>
          <w:bCs/>
          <w:color w:val="393939"/>
          <w:sz w:val="20"/>
          <w:szCs w:val="20"/>
        </w:rPr>
        <w:t>Locked in Mid-Century</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Most educators with whom we have worked would agree that there is a strong relationship between culture and motivation, and that it only makes sense to understand a student's perspective. Why, then, do we have such difficulty acting this way in the classroom?</w:t>
      </w:r>
    </w:p>
    <w:p w:rsidR="00DA5083" w:rsidRPr="0009328B" w:rsidRDefault="00DA5083" w:rsidP="00DA5083">
      <w:pPr>
        <w:spacing w:after="0" w:line="240" w:lineRule="auto"/>
        <w:textAlignment w:val="baseline"/>
        <w:rPr>
          <w:rFonts w:ascii="Segoe UI" w:eastAsia="Times New Roman" w:hAnsi="Segoe UI" w:cs="Segoe UI"/>
          <w:color w:val="000000"/>
          <w:sz w:val="16"/>
          <w:szCs w:val="16"/>
        </w:rPr>
      </w:pPr>
    </w:p>
    <w:p w:rsidR="00DA5083" w:rsidRPr="0009328B" w:rsidRDefault="00DA5083" w:rsidP="00DA5083">
      <w:pPr>
        <w:spacing w:after="0" w:line="240" w:lineRule="auto"/>
        <w:textAlignment w:val="baseline"/>
        <w:rPr>
          <w:rFonts w:ascii="Segoe UI" w:eastAsia="Times New Roman" w:hAnsi="Segoe UI" w:cs="Segoe UI"/>
          <w:b/>
          <w:color w:val="404040" w:themeColor="text1" w:themeTint="BF"/>
          <w:sz w:val="20"/>
          <w:szCs w:val="20"/>
        </w:rPr>
      </w:pPr>
      <w:r w:rsidRPr="0009328B">
        <w:rPr>
          <w:rFonts w:ascii="Segoe UI" w:eastAsia="Times New Roman" w:hAnsi="Segoe UI" w:cs="Segoe UI"/>
          <w:b/>
          <w:color w:val="404040" w:themeColor="text1" w:themeTint="BF"/>
          <w:sz w:val="20"/>
          <w:szCs w:val="20"/>
        </w:rPr>
        <w:t>One major reason is that we feel very little social pressure to act otherwise. The popular media and structural systems of education remain locked in a deterministic, mechanistic, and behavioristic orientation toward human motivation.</w:t>
      </w:r>
    </w:p>
    <w:p w:rsidR="00DA5083" w:rsidRPr="0009328B" w:rsidRDefault="00DA5083" w:rsidP="00DA5083">
      <w:pPr>
        <w:spacing w:after="0" w:line="240" w:lineRule="auto"/>
        <w:textAlignment w:val="baseline"/>
        <w:rPr>
          <w:rFonts w:ascii="Segoe UI" w:eastAsia="Times New Roman" w:hAnsi="Segoe UI" w:cs="Segoe UI"/>
          <w:b/>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lastRenderedPageBreak/>
        <w:t>If one were to do a content analysis of national news broadcasts and news magazines for the last 40 years to identify the most widely used metaphor for motivation, “the carrot and the stick”—reward and punish, manipulate and control—would prevail. As a result, our national consciousness assumes there are many people who need to be motivated by other people.</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The prevailing question, “How do I motivate them?” implies that “they” are somehow dependent, incapable of self-motivation, and in need of help from a more powerful “other.” In this sense, the “at-risk” label acts to heighten our perception of students as motivationally dysfunctional, and increases our tendency not to trust their perspective. The fact that an inordinately high number of “at-risk” students are poor and people of color should cause us to reflect on how well we understand motivation. Thoughtful scholars have suggested that this label now serves as a euphemism for “culturally deprived” (Banks 1993).</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Secondary education is influenced a great deal by the practices of higher education, and both levels tend to follow the precepts of extrinsic reinforcement. Teaching and testing practices, competitive assessment procedures, grades, grade point averages, and eligibility for select vocations and colleges form an interrelated system. This system </w:t>
      </w:r>
      <w:proofErr w:type="gramStart"/>
      <w:r w:rsidRPr="00DA5083">
        <w:rPr>
          <w:rFonts w:ascii="Segoe UI" w:eastAsia="Times New Roman" w:hAnsi="Segoe UI" w:cs="Segoe UI"/>
          <w:color w:val="000000"/>
          <w:sz w:val="20"/>
          <w:szCs w:val="20"/>
        </w:rPr>
        <w:t>is based on the assumption</w:t>
      </w:r>
      <w:proofErr w:type="gramEnd"/>
      <w:r w:rsidRPr="00DA5083">
        <w:rPr>
          <w:rFonts w:ascii="Segoe UI" w:eastAsia="Times New Roman" w:hAnsi="Segoe UI" w:cs="Segoe UI"/>
          <w:color w:val="000000"/>
          <w:sz w:val="20"/>
          <w:szCs w:val="20"/>
        </w:rPr>
        <w:t xml:space="preserve"> that human beings will strive to learn when they are externally rewarded for a specific behavior or punished for lack of it.</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Schools and colleges successfully educate a disproportionately low number of low-income and ethnic minority students (</w:t>
      </w:r>
      <w:proofErr w:type="spellStart"/>
      <w:r w:rsidRPr="00DA5083">
        <w:rPr>
          <w:rFonts w:ascii="Segoe UI" w:eastAsia="Times New Roman" w:hAnsi="Segoe UI" w:cs="Segoe UI"/>
          <w:color w:val="000000"/>
          <w:sz w:val="20"/>
          <w:szCs w:val="20"/>
        </w:rPr>
        <w:t>Wlodkowski</w:t>
      </w:r>
      <w:proofErr w:type="spellEnd"/>
      <w:r w:rsidRPr="00DA5083">
        <w:rPr>
          <w:rFonts w:ascii="Segoe UI" w:eastAsia="Times New Roman" w:hAnsi="Segoe UI" w:cs="Segoe UI"/>
          <w:color w:val="000000"/>
          <w:sz w:val="20"/>
          <w:szCs w:val="20"/>
        </w:rPr>
        <w:t xml:space="preserve"> and Ginsberg 1995). Because the importance of grades and grade point averages increases as a student advances in school, it is legitimate to question whether extrinsic motivation systems are effective for significant numbers of students across cultures. </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09328B" w:rsidRDefault="00DA5083" w:rsidP="00886574">
      <w:pPr>
        <w:spacing w:after="0" w:line="240" w:lineRule="auto"/>
        <w:ind w:right="-180"/>
        <w:textAlignment w:val="baseline"/>
        <w:rPr>
          <w:rFonts w:ascii="Segoe UI" w:eastAsia="Times New Roman" w:hAnsi="Segoe UI" w:cs="Segoe UI"/>
          <w:b/>
          <w:color w:val="404040" w:themeColor="text1" w:themeTint="BF"/>
          <w:sz w:val="20"/>
          <w:szCs w:val="20"/>
        </w:rPr>
      </w:pPr>
      <w:r w:rsidRPr="0009328B">
        <w:rPr>
          <w:rFonts w:ascii="Segoe UI" w:eastAsia="Times New Roman" w:hAnsi="Segoe UI" w:cs="Segoe UI"/>
          <w:b/>
          <w:color w:val="404040" w:themeColor="text1" w:themeTint="BF"/>
          <w:sz w:val="20"/>
          <w:szCs w:val="20"/>
        </w:rPr>
        <w:t xml:space="preserve">We can only conclude that, </w:t>
      </w:r>
      <w:proofErr w:type="gramStart"/>
      <w:r w:rsidRPr="0009328B">
        <w:rPr>
          <w:rFonts w:ascii="Segoe UI" w:eastAsia="Times New Roman" w:hAnsi="Segoe UI" w:cs="Segoe UI"/>
          <w:b/>
          <w:color w:val="404040" w:themeColor="text1" w:themeTint="BF"/>
          <w:sz w:val="20"/>
          <w:szCs w:val="20"/>
        </w:rPr>
        <w:t>as long as</w:t>
      </w:r>
      <w:proofErr w:type="gramEnd"/>
      <w:r w:rsidRPr="0009328B">
        <w:rPr>
          <w:rFonts w:ascii="Segoe UI" w:eastAsia="Times New Roman" w:hAnsi="Segoe UI" w:cs="Segoe UI"/>
          <w:b/>
          <w:color w:val="404040" w:themeColor="text1" w:themeTint="BF"/>
          <w:sz w:val="20"/>
          <w:szCs w:val="20"/>
        </w:rPr>
        <w:t xml:space="preserve"> the educational system continues to relate motivation to learn with external rewards and punishments, culturally different students will, in large part, be excluded from engagement and success in school.</w:t>
      </w:r>
    </w:p>
    <w:p w:rsidR="00DA5083" w:rsidRPr="00DA5083" w:rsidRDefault="00DA5083" w:rsidP="00DA5083">
      <w:pPr>
        <w:spacing w:after="0" w:line="240" w:lineRule="auto"/>
        <w:textAlignment w:val="baseline"/>
        <w:outlineLvl w:val="1"/>
        <w:rPr>
          <w:rFonts w:ascii="Segoe UI" w:eastAsia="Times New Roman" w:hAnsi="Segoe UI" w:cs="Segoe UI"/>
          <w:b/>
          <w:bCs/>
          <w:color w:val="393939"/>
        </w:rPr>
      </w:pPr>
    </w:p>
    <w:p w:rsidR="00DA5083" w:rsidRPr="00DA5083" w:rsidRDefault="00DA5083" w:rsidP="00DA5083">
      <w:pPr>
        <w:spacing w:after="0" w:line="240" w:lineRule="auto"/>
        <w:textAlignment w:val="baseline"/>
        <w:outlineLvl w:val="1"/>
        <w:rPr>
          <w:rFonts w:ascii="Segoe UI" w:eastAsia="Times New Roman" w:hAnsi="Segoe UI" w:cs="Segoe UI"/>
          <w:b/>
          <w:bCs/>
          <w:color w:val="393939"/>
          <w:sz w:val="20"/>
          <w:szCs w:val="20"/>
        </w:rPr>
      </w:pPr>
      <w:r w:rsidRPr="00DA5083">
        <w:rPr>
          <w:rFonts w:ascii="Segoe UI" w:eastAsia="Times New Roman" w:hAnsi="Segoe UI" w:cs="Segoe UI"/>
          <w:b/>
          <w:bCs/>
          <w:color w:val="393939"/>
          <w:sz w:val="20"/>
          <w:szCs w:val="20"/>
        </w:rPr>
        <w:t>Changing Consciousness About Motivation</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It is part of human nature to be curious, to be active, to initiate thought and behavior, to make meaning from experience, and to be effective at what we value. These primary sources of motivation reside in all of us, across all cultures. When students can see that what they are learning makes sense and is important, their intrinsic motivation emerges.</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We can begin to replace the carrot and stick metaphor with the words “understand” and “elicit”; to change the concept of motivation from reward and punishment to communication and respect. We can influence the motivation of students by coming to know their perspective, by drawing forth who they naturally and culturally are, and by seeing them as unique and active. Sharing our resources with theirs, working together, we can create greater energy for learning.</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Intrinsic systems of motivation can accommodate cultural differences. Theories of intrinsic motivation have been successfully applied and researched in areas such as cross-cultural studies (Csikszentmihalyi and Csikszentmihalyi 1988); bilingual education (Cummins 1986); and education, work, and sports (Deci and Ryan 1985). Ample documentation across a variety of student and regional settings suggests that noncompetitive, informational evaluation processes are more effective than competitive, controlling evaluation procedures (Deci et al. 1991, Deci and Ryan 1991).</w:t>
      </w:r>
    </w:p>
    <w:p w:rsidR="00DA5083" w:rsidRPr="00DA5083" w:rsidRDefault="00DA5083" w:rsidP="00DA5083">
      <w:pPr>
        <w:spacing w:after="0" w:line="240" w:lineRule="auto"/>
        <w:textAlignment w:val="baseline"/>
        <w:rPr>
          <w:rFonts w:ascii="Segoe UI" w:eastAsia="Times New Roman" w:hAnsi="Segoe UI" w:cs="Segoe UI"/>
          <w:color w:val="000000"/>
          <w:sz w:val="16"/>
          <w:szCs w:val="16"/>
        </w:rPr>
      </w:pPr>
    </w:p>
    <w:p w:rsid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A growing number of educational models, including constructivism and multiple intelligences theory, are based on intrinsic motivation. They see student perspective as central to teaching. Unfortunately, educators must often apply these theories within educational systems dominated by extrinsic reinforcement, where grades and class rank are emphasized. And, when extrinsic rewards continue to be the primary motivators, intrinsic motivation is </w:t>
      </w:r>
      <w:r w:rsidRPr="00DA5083">
        <w:rPr>
          <w:rFonts w:ascii="Segoe UI" w:eastAsia="Times New Roman" w:hAnsi="Segoe UI" w:cs="Segoe UI"/>
          <w:color w:val="000000"/>
          <w:sz w:val="20"/>
          <w:szCs w:val="20"/>
        </w:rPr>
        <w:lastRenderedPageBreak/>
        <w:t>dampened. Those students whose socialization accommodates the extrinsic approach surge ahead, while those students—often the culturally different—whose socialization does not, fall behind. A holistic, culturally responsive pedagogy based on intrinsic motivation is needed to correct this imbalance.</w:t>
      </w:r>
    </w:p>
    <w:p w:rsidR="00DA5083" w:rsidRPr="00DA5083" w:rsidRDefault="00DA5083" w:rsidP="00DA5083">
      <w:pPr>
        <w:spacing w:after="0" w:line="240" w:lineRule="auto"/>
        <w:textAlignment w:val="baseline"/>
        <w:rPr>
          <w:rFonts w:ascii="Segoe UI" w:eastAsia="Times New Roman" w:hAnsi="Segoe UI" w:cs="Segoe UI"/>
          <w:color w:val="000000"/>
          <w:sz w:val="16"/>
          <w:szCs w:val="16"/>
        </w:rPr>
      </w:pPr>
    </w:p>
    <w:p w:rsidR="00DA5083" w:rsidRPr="00DA5083" w:rsidRDefault="00DA5083" w:rsidP="00DA5083">
      <w:pPr>
        <w:spacing w:after="0" w:line="240" w:lineRule="auto"/>
        <w:textAlignment w:val="baseline"/>
        <w:outlineLvl w:val="1"/>
        <w:rPr>
          <w:rFonts w:ascii="Segoe UI" w:eastAsia="Times New Roman" w:hAnsi="Segoe UI" w:cs="Segoe UI"/>
          <w:b/>
          <w:bCs/>
          <w:color w:val="393939"/>
          <w:sz w:val="20"/>
          <w:szCs w:val="20"/>
        </w:rPr>
      </w:pPr>
      <w:r w:rsidRPr="00DA5083">
        <w:rPr>
          <w:rFonts w:ascii="Segoe UI" w:eastAsia="Times New Roman" w:hAnsi="Segoe UI" w:cs="Segoe UI"/>
          <w:b/>
          <w:bCs/>
          <w:color w:val="393939"/>
          <w:sz w:val="20"/>
          <w:szCs w:val="20"/>
        </w:rPr>
        <w:t>An Intrinsic Motivational Framework</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We propose a model of culturally responsive teaching based on theories of intrinsic motivation. This model is respectful of different cultures and </w:t>
      </w:r>
      <w:proofErr w:type="gramStart"/>
      <w:r w:rsidRPr="00DA5083">
        <w:rPr>
          <w:rFonts w:ascii="Segoe UI" w:eastAsia="Times New Roman" w:hAnsi="Segoe UI" w:cs="Segoe UI"/>
          <w:color w:val="000000"/>
          <w:sz w:val="20"/>
          <w:szCs w:val="20"/>
        </w:rPr>
        <w:t>is capable of creating</w:t>
      </w:r>
      <w:proofErr w:type="gramEnd"/>
      <w:r w:rsidRPr="00DA5083">
        <w:rPr>
          <w:rFonts w:ascii="Segoe UI" w:eastAsia="Times New Roman" w:hAnsi="Segoe UI" w:cs="Segoe UI"/>
          <w:color w:val="000000"/>
          <w:sz w:val="20"/>
          <w:szCs w:val="20"/>
        </w:rPr>
        <w:t xml:space="preserve"> a common culture that all students can accept. Within this framework, pedagogical alignment—the coordination of approaches to teaching that ensure maximum consistent effect—is critical. The more harmonious the elements of teaching are, the more likely they are to evoke, encourage, and sustain intrinsic motivation.</w:t>
      </w:r>
    </w:p>
    <w:p w:rsidR="00DA5083" w:rsidRPr="00DA5083" w:rsidRDefault="00DA5083" w:rsidP="00DA5083">
      <w:pPr>
        <w:spacing w:after="0" w:line="240" w:lineRule="auto"/>
        <w:textAlignment w:val="baseline"/>
        <w:rPr>
          <w:rFonts w:ascii="Segoe UI" w:eastAsia="Times New Roman" w:hAnsi="Segoe UI" w:cs="Segoe UI"/>
          <w:color w:val="000000"/>
          <w:sz w:val="16"/>
          <w:szCs w:val="16"/>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The framework names four motivational conditions that the teacher and students continuously create or enhance. They are: </w:t>
      </w:r>
    </w:p>
    <w:p w:rsidR="00DA5083" w:rsidRPr="00DA5083" w:rsidRDefault="00DA5083" w:rsidP="00DA5083">
      <w:pPr>
        <w:numPr>
          <w:ilvl w:val="0"/>
          <w:numId w:val="1"/>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Establishing inclusion</w:t>
      </w:r>
      <w:r w:rsidRPr="00DA5083">
        <w:rPr>
          <w:rFonts w:ascii="Segoe UI" w:eastAsia="Times New Roman" w:hAnsi="Segoe UI" w:cs="Segoe UI"/>
          <w:color w:val="000000"/>
          <w:sz w:val="20"/>
          <w:szCs w:val="20"/>
        </w:rPr>
        <w:t>—creating a learning atmosphere in which students and teachers feel respected by and connected to one another.</w:t>
      </w:r>
    </w:p>
    <w:p w:rsidR="00DA5083" w:rsidRPr="00DA5083" w:rsidRDefault="00DA5083" w:rsidP="00DA5083">
      <w:pPr>
        <w:numPr>
          <w:ilvl w:val="0"/>
          <w:numId w:val="1"/>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Developing attitude</w:t>
      </w:r>
      <w:r w:rsidRPr="00DA5083">
        <w:rPr>
          <w:rFonts w:ascii="Segoe UI" w:eastAsia="Times New Roman" w:hAnsi="Segoe UI" w:cs="Segoe UI"/>
          <w:color w:val="000000"/>
          <w:sz w:val="20"/>
          <w:szCs w:val="20"/>
        </w:rPr>
        <w:t>—creating a favorable disposition toward the learning experience through personal relevance and choice.</w:t>
      </w:r>
    </w:p>
    <w:p w:rsidR="00DA5083" w:rsidRPr="00DA5083" w:rsidRDefault="00DA5083" w:rsidP="00DA5083">
      <w:pPr>
        <w:numPr>
          <w:ilvl w:val="0"/>
          <w:numId w:val="1"/>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Enhancing meaning</w:t>
      </w:r>
      <w:r w:rsidRPr="00DA5083">
        <w:rPr>
          <w:rFonts w:ascii="Segoe UI" w:eastAsia="Times New Roman" w:hAnsi="Segoe UI" w:cs="Segoe UI"/>
          <w:color w:val="000000"/>
          <w:sz w:val="20"/>
          <w:szCs w:val="20"/>
        </w:rPr>
        <w:t>—creating challenging, thoughtful learning experiences that include student perspectives and values.</w:t>
      </w:r>
    </w:p>
    <w:p w:rsidR="00DA5083" w:rsidRPr="00DA5083" w:rsidRDefault="00DA5083" w:rsidP="00DA5083">
      <w:pPr>
        <w:numPr>
          <w:ilvl w:val="0"/>
          <w:numId w:val="1"/>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Engendering competence</w:t>
      </w:r>
      <w:r w:rsidRPr="00DA5083">
        <w:rPr>
          <w:rFonts w:ascii="Segoe UI" w:eastAsia="Times New Roman" w:hAnsi="Segoe UI" w:cs="Segoe UI"/>
          <w:color w:val="000000"/>
          <w:sz w:val="20"/>
          <w:szCs w:val="20"/>
        </w:rPr>
        <w:t>—creating an understanding that students are effective in learning something they value.</w:t>
      </w:r>
    </w:p>
    <w:p w:rsidR="00DA5083" w:rsidRPr="00DA5083" w:rsidRDefault="00DA5083" w:rsidP="00DA5083">
      <w:pPr>
        <w:spacing w:after="0" w:line="240" w:lineRule="auto"/>
        <w:textAlignment w:val="baseline"/>
        <w:rPr>
          <w:rFonts w:ascii="Segoe UI" w:eastAsia="Times New Roman" w:hAnsi="Segoe UI" w:cs="Segoe UI"/>
          <w:color w:val="000000"/>
          <w:sz w:val="16"/>
          <w:szCs w:val="16"/>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These conditions are essential to developing intrinsic motivation. They are sensitive to cultural differences. They work in concert as they influence students and teachers, and they happen in a moment as well as over </w:t>
      </w:r>
      <w:proofErr w:type="gramStart"/>
      <w:r w:rsidRPr="00DA5083">
        <w:rPr>
          <w:rFonts w:ascii="Segoe UI" w:eastAsia="Times New Roman" w:hAnsi="Segoe UI" w:cs="Segoe UI"/>
          <w:color w:val="000000"/>
          <w:sz w:val="20"/>
          <w:szCs w:val="20"/>
        </w:rPr>
        <w:t>a period of time</w:t>
      </w:r>
      <w:proofErr w:type="gramEnd"/>
      <w:r w:rsidRPr="00DA5083">
        <w:rPr>
          <w:rFonts w:ascii="Segoe UI" w:eastAsia="Times New Roman" w:hAnsi="Segoe UI" w:cs="Segoe UI"/>
          <w:color w:val="000000"/>
          <w:sz w:val="20"/>
          <w:szCs w:val="20"/>
        </w:rPr>
        <w:t>.</w:t>
      </w:r>
    </w:p>
    <w:p w:rsidR="00DA5083" w:rsidRDefault="00DA5083" w:rsidP="00DA5083">
      <w:pPr>
        <w:spacing w:after="0" w:line="240" w:lineRule="auto"/>
        <w:textAlignment w:val="baseline"/>
        <w:outlineLvl w:val="1"/>
        <w:rPr>
          <w:rFonts w:ascii="Segoe UI" w:eastAsia="Times New Roman" w:hAnsi="Segoe UI" w:cs="Segoe UI"/>
          <w:b/>
          <w:bCs/>
          <w:color w:val="393939"/>
          <w:sz w:val="20"/>
          <w:szCs w:val="20"/>
        </w:rPr>
      </w:pPr>
    </w:p>
    <w:p w:rsidR="00DA5083" w:rsidRPr="00DA5083" w:rsidRDefault="00DA5083" w:rsidP="00DA5083">
      <w:pPr>
        <w:spacing w:after="0" w:line="240" w:lineRule="auto"/>
        <w:textAlignment w:val="baseline"/>
        <w:outlineLvl w:val="1"/>
        <w:rPr>
          <w:rFonts w:ascii="Segoe UI" w:eastAsia="Times New Roman" w:hAnsi="Segoe UI" w:cs="Segoe UI"/>
          <w:b/>
          <w:bCs/>
          <w:color w:val="393939"/>
          <w:sz w:val="20"/>
          <w:szCs w:val="20"/>
        </w:rPr>
      </w:pPr>
      <w:r w:rsidRPr="00DA5083">
        <w:rPr>
          <w:rFonts w:ascii="Segoe UI" w:eastAsia="Times New Roman" w:hAnsi="Segoe UI" w:cs="Segoe UI"/>
          <w:b/>
          <w:bCs/>
          <w:color w:val="393939"/>
          <w:sz w:val="20"/>
          <w:szCs w:val="20"/>
        </w:rPr>
        <w:t>Culturally Responsive Teaching</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Let us look at an actual episode of culturally responsive teaching based on this motivational framework. It occurs in an urban high school social science class with a diverse group of students and an experienced teacher.</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At the start of a new term, the teacher wants to familiarize students with active research methods. She will use such methods throughout the semester, and she knows from previous experience that many students view research as abstract, irrelevant, and oppressive work.</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After reflecting on the framework, her teaching goal, and her repertoire of methods, she randomly assigns students to small groups. She encourages them to discuss any previous experiences they may have had in doing research as well as their expectations and concerns for the course. Each group then shares its experiences, expectations, and concerns as she records them on the chalkboard. In this manner, she </w:t>
      </w:r>
      <w:proofErr w:type="gramStart"/>
      <w:r w:rsidRPr="00DA5083">
        <w:rPr>
          <w:rFonts w:ascii="Segoe UI" w:eastAsia="Times New Roman" w:hAnsi="Segoe UI" w:cs="Segoe UI"/>
          <w:color w:val="000000"/>
          <w:sz w:val="20"/>
          <w:szCs w:val="20"/>
        </w:rPr>
        <w:t>is able to</w:t>
      </w:r>
      <w:proofErr w:type="gramEnd"/>
      <w:r w:rsidRPr="00DA5083">
        <w:rPr>
          <w:rFonts w:ascii="Segoe UI" w:eastAsia="Times New Roman" w:hAnsi="Segoe UI" w:cs="Segoe UI"/>
          <w:color w:val="000000"/>
          <w:sz w:val="20"/>
          <w:szCs w:val="20"/>
        </w:rPr>
        <w:t xml:space="preserve"> understand her students' perspectives and to increase their connection to one another and herself </w:t>
      </w:r>
      <w:r w:rsidRPr="00DA5083">
        <w:rPr>
          <w:rFonts w:ascii="Segoe UI" w:eastAsia="Times New Roman" w:hAnsi="Segoe UI" w:cs="Segoe UI"/>
          <w:i/>
          <w:iCs/>
          <w:color w:val="000000"/>
          <w:sz w:val="20"/>
          <w:szCs w:val="20"/>
          <w:bdr w:val="none" w:sz="0" w:space="0" w:color="auto" w:frame="1"/>
        </w:rPr>
        <w:t>(motivational condition: establishing inclusion)</w:t>
      </w:r>
      <w:r w:rsidRPr="00DA5083">
        <w:rPr>
          <w:rFonts w:ascii="Segoe UI" w:eastAsia="Times New Roman" w:hAnsi="Segoe UI" w:cs="Segoe UI"/>
          <w:color w:val="000000"/>
          <w:sz w:val="20"/>
          <w:szCs w:val="20"/>
        </w:rPr>
        <w:t>.</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The teacher explains that most people are researchers much of the time, and she asks the students what they would like to research among themselves. After a lively discussion, the class decides to investigate and predict the amount of sleep some members of the class had the previous night. This experience engages student choice, increases the relevance of the activity, and contributes to the favorable disposition emerging in the class </w:t>
      </w:r>
      <w:r w:rsidRPr="00DA5083">
        <w:rPr>
          <w:rFonts w:ascii="Segoe UI" w:eastAsia="Times New Roman" w:hAnsi="Segoe UI" w:cs="Segoe UI"/>
          <w:i/>
          <w:iCs/>
          <w:color w:val="000000"/>
          <w:sz w:val="20"/>
          <w:szCs w:val="20"/>
          <w:bdr w:val="none" w:sz="0" w:space="0" w:color="auto" w:frame="1"/>
        </w:rPr>
        <w:t>(motivational condition: developing attitude)</w:t>
      </w:r>
      <w:r w:rsidRPr="00DA5083">
        <w:rPr>
          <w:rFonts w:ascii="Segoe UI" w:eastAsia="Times New Roman" w:hAnsi="Segoe UI" w:cs="Segoe UI"/>
          <w:color w:val="000000"/>
          <w:sz w:val="20"/>
          <w:szCs w:val="20"/>
        </w:rPr>
        <w:t>. The students are learning in a way that includes their experiences and perspectives.</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Five students volunteer to serve as subjects, and the other students form research teams. Each team must develop a set of observations and questions to ask the volunteers. (They cannot ask them how many hours of sleep they had the night before.) After they ask their questions, the teams rank the five volunteers from the most </w:t>
      </w:r>
      <w:r w:rsidRPr="00DA5083">
        <w:rPr>
          <w:rFonts w:ascii="Segoe UI" w:eastAsia="Times New Roman" w:hAnsi="Segoe UI" w:cs="Segoe UI"/>
          <w:color w:val="000000"/>
          <w:sz w:val="20"/>
          <w:szCs w:val="20"/>
        </w:rPr>
        <w:lastRenderedPageBreak/>
        <w:t>to the least amount of sleep. When the volunteers reveal the amount of time they slept, the students discover that no research team was correct in ranking more than three students.</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Students discuss why this outcome may have occurred, and consider questions that might have increased their accuracy, such as, “How many hours of sleep do you need to feel rested?” Collaborative learning, hypothesis testing, critical questioning, and predicting heighten the engagement, challenge, and complexity of this process for the students </w:t>
      </w:r>
      <w:r w:rsidRPr="00DA5083">
        <w:rPr>
          <w:rFonts w:ascii="Segoe UI" w:eastAsia="Times New Roman" w:hAnsi="Segoe UI" w:cs="Segoe UI"/>
          <w:i/>
          <w:iCs/>
          <w:color w:val="000000"/>
          <w:sz w:val="20"/>
          <w:szCs w:val="20"/>
          <w:bdr w:val="none" w:sz="0" w:space="0" w:color="auto" w:frame="1"/>
        </w:rPr>
        <w:t>(motivational condition: enhancing meaning)</w:t>
      </w:r>
      <w:r w:rsidRPr="00DA5083">
        <w:rPr>
          <w:rFonts w:ascii="Segoe UI" w:eastAsia="Times New Roman" w:hAnsi="Segoe UI" w:cs="Segoe UI"/>
          <w:color w:val="000000"/>
          <w:sz w:val="20"/>
          <w:szCs w:val="20"/>
        </w:rPr>
        <w:t>.</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These procedures encourage and model equitable participation for all students.</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After the discussion, the teacher asks the students to write a series of statements about what this activity </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has taught them about research. Students then break into small groups to exchange their insights. Self-assessment helps the students to gain, from an authentic experience, an understanding of something they may value </w:t>
      </w:r>
      <w:r w:rsidRPr="00DA5083">
        <w:rPr>
          <w:rFonts w:ascii="Segoe UI" w:eastAsia="Times New Roman" w:hAnsi="Segoe UI" w:cs="Segoe UI"/>
          <w:i/>
          <w:iCs/>
          <w:color w:val="000000"/>
          <w:sz w:val="20"/>
          <w:szCs w:val="20"/>
          <w:bdr w:val="none" w:sz="0" w:space="0" w:color="auto" w:frame="1"/>
        </w:rPr>
        <w:t>(motivational condition: engendering competence)</w:t>
      </w:r>
      <w:r w:rsidRPr="00DA5083">
        <w:rPr>
          <w:rFonts w:ascii="Segoe UI" w:eastAsia="Times New Roman" w:hAnsi="Segoe UI" w:cs="Segoe UI"/>
          <w:color w:val="000000"/>
          <w:sz w:val="20"/>
          <w:szCs w:val="20"/>
        </w:rPr>
        <w:t>.</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This snapshot of culturally responsive teaching illustrates how the four motivational conditions constantly influence and interact with one another. Without establishing inclusion (small groups to discuss experiences) and developing attitude (students choosing a relevant research), the enhancement of meaning (research teams devising hypotheses) may not have occurred with equal ease and energy; and the self-assessment to engender competence (what students learned from their perspective) may have had a dismal outcome. According to this model of teaching, all the motivational conditions contribute to student engagement.</w:t>
      </w:r>
    </w:p>
    <w:p w:rsidR="00DA5083" w:rsidRDefault="00DA5083" w:rsidP="00DA5083">
      <w:pPr>
        <w:spacing w:after="0" w:line="240" w:lineRule="auto"/>
        <w:textAlignment w:val="baseline"/>
        <w:outlineLvl w:val="1"/>
        <w:rPr>
          <w:rFonts w:ascii="Segoe UI" w:eastAsia="Times New Roman" w:hAnsi="Segoe UI" w:cs="Segoe UI"/>
          <w:b/>
          <w:bCs/>
          <w:color w:val="393939"/>
          <w:sz w:val="20"/>
          <w:szCs w:val="20"/>
        </w:rPr>
      </w:pPr>
    </w:p>
    <w:p w:rsidR="00DA5083" w:rsidRPr="00DA5083" w:rsidRDefault="00DA5083" w:rsidP="00DA5083">
      <w:pPr>
        <w:spacing w:after="0" w:line="240" w:lineRule="auto"/>
        <w:textAlignment w:val="baseline"/>
        <w:outlineLvl w:val="1"/>
        <w:rPr>
          <w:rFonts w:ascii="Segoe UI" w:eastAsia="Times New Roman" w:hAnsi="Segoe UI" w:cs="Segoe UI"/>
          <w:b/>
          <w:bCs/>
          <w:color w:val="393939"/>
          <w:sz w:val="20"/>
          <w:szCs w:val="20"/>
        </w:rPr>
      </w:pPr>
      <w:r w:rsidRPr="00DA5083">
        <w:rPr>
          <w:rFonts w:ascii="Segoe UI" w:eastAsia="Times New Roman" w:hAnsi="Segoe UI" w:cs="Segoe UI"/>
          <w:b/>
          <w:bCs/>
          <w:color w:val="393939"/>
          <w:sz w:val="20"/>
          <w:szCs w:val="20"/>
        </w:rPr>
        <w:t>Norms, Procedures, and Structures</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Although the above event </w:t>
      </w:r>
      <w:proofErr w:type="gramStart"/>
      <w:r w:rsidRPr="00DA5083">
        <w:rPr>
          <w:rFonts w:ascii="Segoe UI" w:eastAsia="Times New Roman" w:hAnsi="Segoe UI" w:cs="Segoe UI"/>
          <w:color w:val="000000"/>
          <w:sz w:val="20"/>
          <w:szCs w:val="20"/>
        </w:rPr>
        <w:t>actually occurred</w:t>
      </w:r>
      <w:proofErr w:type="gramEnd"/>
      <w:r w:rsidRPr="00DA5083">
        <w:rPr>
          <w:rFonts w:ascii="Segoe UI" w:eastAsia="Times New Roman" w:hAnsi="Segoe UI" w:cs="Segoe UI"/>
          <w:color w:val="000000"/>
          <w:sz w:val="20"/>
          <w:szCs w:val="20"/>
        </w:rPr>
        <w:t xml:space="preserve">, it may sound like a fairy tale because everything worked smoothly. </w:t>
      </w:r>
      <w:proofErr w:type="gramStart"/>
      <w:r w:rsidRPr="00DA5083">
        <w:rPr>
          <w:rFonts w:ascii="Segoe UI" w:eastAsia="Times New Roman" w:hAnsi="Segoe UI" w:cs="Segoe UI"/>
          <w:color w:val="000000"/>
          <w:sz w:val="20"/>
          <w:szCs w:val="20"/>
        </w:rPr>
        <w:t>In reality, teaching</w:t>
      </w:r>
      <w:proofErr w:type="gramEnd"/>
      <w:r w:rsidRPr="00DA5083">
        <w:rPr>
          <w:rFonts w:ascii="Segoe UI" w:eastAsia="Times New Roman" w:hAnsi="Segoe UI" w:cs="Segoe UI"/>
          <w:color w:val="000000"/>
          <w:sz w:val="20"/>
          <w:szCs w:val="20"/>
        </w:rPr>
        <w:t xml:space="preserve"> situations often become fragmented by the competing needs and interests of a diverse student body. All too often, we use educational norms and procedures that are contradictory. The result is that we confuse students and decrease their intrinsic motivation. For example, consider the teacher who uses cooperative learning yet gives pop quizzes; or who espouses constructivist learning yet grades for participation; or who abhors discrimination yet calls mainly on boys during class discussions.</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proofErr w:type="gramStart"/>
      <w:r w:rsidRPr="00DA5083">
        <w:rPr>
          <w:rFonts w:ascii="Segoe UI" w:eastAsia="Times New Roman" w:hAnsi="Segoe UI" w:cs="Segoe UI"/>
          <w:color w:val="000000"/>
          <w:sz w:val="20"/>
          <w:szCs w:val="20"/>
        </w:rPr>
        <w:t>In an effort to</w:t>
      </w:r>
      <w:proofErr w:type="gramEnd"/>
      <w:r w:rsidRPr="00DA5083">
        <w:rPr>
          <w:rFonts w:ascii="Segoe UI" w:eastAsia="Times New Roman" w:hAnsi="Segoe UI" w:cs="Segoe UI"/>
          <w:color w:val="000000"/>
          <w:sz w:val="20"/>
          <w:szCs w:val="20"/>
        </w:rPr>
        <w:t xml:space="preserve"> help educators avoid such errors of incoherence, we have compiled educational norms, procedures, and structures that are effective from a motivational as well as multicultural perspective (see fig. 1). Together, they provide an integrated system of teaching practices for our model of culturally responsive teaching. They are categorized according to the motivational conditions of the framework:</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Norms</w:t>
      </w:r>
      <w:r w:rsidRPr="00DA5083">
        <w:rPr>
          <w:rFonts w:ascii="Segoe UI" w:eastAsia="Times New Roman" w:hAnsi="Segoe UI" w:cs="Segoe UI"/>
          <w:color w:val="000000"/>
          <w:sz w:val="20"/>
          <w:szCs w:val="20"/>
        </w:rPr>
        <w:t xml:space="preserve"> are the explicit values espoused by the teacher and students. </w:t>
      </w:r>
      <w:r w:rsidRPr="00DA5083">
        <w:rPr>
          <w:rFonts w:ascii="Segoe UI" w:eastAsia="Times New Roman" w:hAnsi="Segoe UI" w:cs="Segoe UI"/>
          <w:i/>
          <w:iCs/>
          <w:color w:val="000000"/>
          <w:sz w:val="20"/>
          <w:szCs w:val="20"/>
          <w:bdr w:val="none" w:sz="0" w:space="0" w:color="auto" w:frame="1"/>
        </w:rPr>
        <w:t>Procedures</w:t>
      </w:r>
      <w:r w:rsidRPr="00DA5083">
        <w:rPr>
          <w:rFonts w:ascii="Segoe UI" w:eastAsia="Times New Roman" w:hAnsi="Segoe UI" w:cs="Segoe UI"/>
          <w:color w:val="000000"/>
          <w:sz w:val="20"/>
          <w:szCs w:val="20"/>
        </w:rPr>
        <w:t xml:space="preserve"> are learning processes that carry out the norms. </w:t>
      </w:r>
      <w:r w:rsidRPr="00DA5083">
        <w:rPr>
          <w:rFonts w:ascii="Segoe UI" w:eastAsia="Times New Roman" w:hAnsi="Segoe UI" w:cs="Segoe UI"/>
          <w:i/>
          <w:iCs/>
          <w:color w:val="000000"/>
          <w:sz w:val="20"/>
          <w:szCs w:val="20"/>
          <w:bdr w:val="none" w:sz="0" w:space="0" w:color="auto" w:frame="1"/>
        </w:rPr>
        <w:t>Structures</w:t>
      </w:r>
      <w:r w:rsidRPr="00DA5083">
        <w:rPr>
          <w:rFonts w:ascii="Segoe UI" w:eastAsia="Times New Roman" w:hAnsi="Segoe UI" w:cs="Segoe UI"/>
          <w:color w:val="000000"/>
          <w:sz w:val="20"/>
          <w:szCs w:val="20"/>
        </w:rPr>
        <w:t xml:space="preserve"> are the rules or binding expectations that support the norms and procedures.</w:t>
      </w:r>
    </w:p>
    <w:p w:rsidR="00886574" w:rsidRDefault="00886574" w:rsidP="00DA5083">
      <w:pPr>
        <w:spacing w:after="0" w:line="240" w:lineRule="auto"/>
        <w:textAlignment w:val="baseline"/>
        <w:outlineLvl w:val="3"/>
        <w:rPr>
          <w:rFonts w:ascii="Segoe UI" w:eastAsia="Times New Roman" w:hAnsi="Segoe UI" w:cs="Segoe UI"/>
          <w:b/>
          <w:bCs/>
          <w:color w:val="393939"/>
          <w:sz w:val="20"/>
          <w:szCs w:val="20"/>
        </w:rPr>
      </w:pPr>
    </w:p>
    <w:p w:rsidR="00DA5083" w:rsidRPr="00DA5083" w:rsidRDefault="00DA5083" w:rsidP="00DA5083">
      <w:pPr>
        <w:spacing w:after="0" w:line="240" w:lineRule="auto"/>
        <w:textAlignment w:val="baseline"/>
        <w:outlineLvl w:val="3"/>
        <w:rPr>
          <w:rFonts w:ascii="Segoe UI" w:eastAsia="Times New Roman" w:hAnsi="Segoe UI" w:cs="Segoe UI"/>
          <w:b/>
          <w:bCs/>
          <w:color w:val="393939"/>
          <w:sz w:val="20"/>
          <w:szCs w:val="20"/>
        </w:rPr>
      </w:pPr>
      <w:r w:rsidRPr="00DA5083">
        <w:rPr>
          <w:rFonts w:ascii="Segoe UI" w:eastAsia="Times New Roman" w:hAnsi="Segoe UI" w:cs="Segoe UI"/>
          <w:b/>
          <w:bCs/>
          <w:color w:val="393939"/>
          <w:sz w:val="20"/>
          <w:szCs w:val="20"/>
        </w:rPr>
        <w:t>Figure 1. Four Conditions Necessary for Culturally Responsive Teaching</w:t>
      </w:r>
    </w:p>
    <w:p w:rsidR="00DA5083" w:rsidRPr="00DA5083" w:rsidRDefault="00DA5083" w:rsidP="00DA5083">
      <w:pPr>
        <w:spacing w:after="0" w:line="240" w:lineRule="auto"/>
        <w:textAlignment w:val="baseline"/>
        <w:rPr>
          <w:rFonts w:ascii="Segoe UI" w:eastAsia="Times New Roman" w:hAnsi="Segoe UI" w:cs="Segoe UI"/>
          <w:color w:val="000000"/>
          <w:sz w:val="16"/>
          <w:szCs w:val="16"/>
        </w:rPr>
      </w:pPr>
    </w:p>
    <w:tbl>
      <w:tblPr>
        <w:tblW w:w="953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532"/>
      </w:tblGrid>
      <w:tr w:rsidR="00DA5083" w:rsidRPr="00DA5083" w:rsidTr="00DA5083">
        <w:tc>
          <w:tcPr>
            <w:tcW w:w="9532" w:type="dxa"/>
            <w:tcBorders>
              <w:top w:val="single" w:sz="6" w:space="0" w:color="ADADAD"/>
              <w:left w:val="single" w:sz="6" w:space="0" w:color="ADADAD"/>
              <w:bottom w:val="single" w:sz="6" w:space="0" w:color="ADADAD"/>
              <w:right w:val="single" w:sz="6" w:space="0" w:color="ADADAD"/>
            </w:tcBorders>
            <w:shd w:val="clear" w:color="auto" w:fill="auto"/>
            <w:tcMar>
              <w:top w:w="45" w:type="dxa"/>
              <w:left w:w="105" w:type="dxa"/>
              <w:bottom w:w="45" w:type="dxa"/>
              <w:right w:w="105" w:type="dxa"/>
            </w:tcMar>
            <w:hideMark/>
          </w:tcPr>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b/>
                <w:bCs/>
                <w:color w:val="000000"/>
                <w:sz w:val="20"/>
                <w:szCs w:val="20"/>
                <w:bdr w:val="none" w:sz="0" w:space="0" w:color="auto" w:frame="1"/>
              </w:rPr>
              <w:t>1. Establish Inclusion</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Norms:</w:t>
            </w:r>
          </w:p>
          <w:p w:rsidR="00DA5083" w:rsidRPr="00DA5083" w:rsidRDefault="00DA5083" w:rsidP="00DA5083">
            <w:pPr>
              <w:numPr>
                <w:ilvl w:val="0"/>
                <w:numId w:val="2"/>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Emphasize the human purpose of what is being learned and its relationship to the students' experience.</w:t>
            </w:r>
          </w:p>
          <w:p w:rsidR="00DA5083" w:rsidRPr="00DA5083" w:rsidRDefault="00DA5083" w:rsidP="00DA5083">
            <w:pPr>
              <w:numPr>
                <w:ilvl w:val="0"/>
                <w:numId w:val="2"/>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Share the ownership of knowing with all students.</w:t>
            </w:r>
          </w:p>
          <w:p w:rsidR="00DA5083" w:rsidRPr="00DA5083" w:rsidRDefault="00DA5083" w:rsidP="00DA5083">
            <w:pPr>
              <w:numPr>
                <w:ilvl w:val="0"/>
                <w:numId w:val="2"/>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Collaborate and cooperate. The class assumes a hopeful view of people and their capacity to change.</w:t>
            </w:r>
          </w:p>
          <w:p w:rsidR="00DA5083" w:rsidRPr="00DA5083" w:rsidRDefault="00DA5083" w:rsidP="00DA5083">
            <w:pPr>
              <w:numPr>
                <w:ilvl w:val="0"/>
                <w:numId w:val="2"/>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Treat all students equitably. Invite them to point out behaviors or practices that discriminate.</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Procedures</w:t>
            </w:r>
            <w:r w:rsidRPr="00DA5083">
              <w:rPr>
                <w:rFonts w:ascii="Segoe UI" w:eastAsia="Times New Roman" w:hAnsi="Segoe UI" w:cs="Segoe UI"/>
                <w:color w:val="000000"/>
                <w:sz w:val="20"/>
                <w:szCs w:val="20"/>
              </w:rPr>
              <w:t>: Collaborative learning approaches; cooperative learning; writing groups; peer teaching; multi-dimensional sharing; focus groups; and reframing.</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Structures</w:t>
            </w:r>
            <w:r w:rsidRPr="00DA5083">
              <w:rPr>
                <w:rFonts w:ascii="Segoe UI" w:eastAsia="Times New Roman" w:hAnsi="Segoe UI" w:cs="Segoe UI"/>
                <w:color w:val="000000"/>
                <w:sz w:val="20"/>
                <w:szCs w:val="20"/>
              </w:rPr>
              <w:t>: Ground rules, learning communities; and cooperative base groups.</w:t>
            </w:r>
          </w:p>
        </w:tc>
      </w:tr>
      <w:tr w:rsidR="00DA5083" w:rsidRPr="00DA5083" w:rsidTr="00DA5083">
        <w:tc>
          <w:tcPr>
            <w:tcW w:w="9532" w:type="dxa"/>
            <w:tcBorders>
              <w:top w:val="single" w:sz="6" w:space="0" w:color="ADADAD"/>
              <w:left w:val="single" w:sz="6" w:space="0" w:color="ADADAD"/>
              <w:bottom w:val="single" w:sz="6" w:space="0" w:color="ADADAD"/>
              <w:right w:val="single" w:sz="6" w:space="0" w:color="ADADAD"/>
            </w:tcBorders>
            <w:shd w:val="clear" w:color="auto" w:fill="auto"/>
            <w:tcMar>
              <w:top w:w="45" w:type="dxa"/>
              <w:left w:w="105" w:type="dxa"/>
              <w:bottom w:w="45" w:type="dxa"/>
              <w:right w:w="105" w:type="dxa"/>
            </w:tcMar>
            <w:hideMark/>
          </w:tcPr>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b/>
                <w:bCs/>
                <w:color w:val="000000"/>
                <w:sz w:val="20"/>
                <w:szCs w:val="20"/>
                <w:bdr w:val="none" w:sz="0" w:space="0" w:color="auto" w:frame="1"/>
              </w:rPr>
              <w:lastRenderedPageBreak/>
              <w:t>2. Develop Positive Attitude</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Norms:</w:t>
            </w:r>
          </w:p>
          <w:p w:rsidR="00DA5083" w:rsidRPr="00DA5083" w:rsidRDefault="00DA5083" w:rsidP="00DA5083">
            <w:pPr>
              <w:numPr>
                <w:ilvl w:val="0"/>
                <w:numId w:val="3"/>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Relate teaching and learning activities to students' experience or previous knowledge.</w:t>
            </w:r>
          </w:p>
          <w:p w:rsidR="00DA5083" w:rsidRPr="00DA5083" w:rsidRDefault="00DA5083" w:rsidP="00DA5083">
            <w:pPr>
              <w:numPr>
                <w:ilvl w:val="0"/>
                <w:numId w:val="3"/>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Encourage students to make choices in content and assessment methods based on their experiences, values, needs, and strengths.</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Procedures</w:t>
            </w:r>
            <w:r w:rsidRPr="00DA5083">
              <w:rPr>
                <w:rFonts w:ascii="Segoe UI" w:eastAsia="Times New Roman" w:hAnsi="Segoe UI" w:cs="Segoe UI"/>
                <w:color w:val="000000"/>
                <w:sz w:val="20"/>
                <w:szCs w:val="20"/>
              </w:rPr>
              <w:t>: Clear learning goals; problem solving goals; fair and clear criteria of evaluation; relevant learning models; learning contracts; approaches based on multiple intelligences theory, pedagogical flexibility based on style, and experiential learning.</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Structure</w:t>
            </w:r>
            <w:r w:rsidRPr="00DA5083">
              <w:rPr>
                <w:rFonts w:ascii="Segoe UI" w:eastAsia="Times New Roman" w:hAnsi="Segoe UI" w:cs="Segoe UI"/>
                <w:color w:val="000000"/>
                <w:sz w:val="20"/>
                <w:szCs w:val="20"/>
              </w:rPr>
              <w:t>: Culturally responsive teacher/student/parent conferences.</w:t>
            </w:r>
          </w:p>
        </w:tc>
      </w:tr>
      <w:tr w:rsidR="00DA5083" w:rsidRPr="00DA5083" w:rsidTr="00DA5083">
        <w:tc>
          <w:tcPr>
            <w:tcW w:w="9532" w:type="dxa"/>
            <w:tcBorders>
              <w:top w:val="single" w:sz="6" w:space="0" w:color="ADADAD"/>
              <w:left w:val="single" w:sz="6" w:space="0" w:color="ADADAD"/>
              <w:bottom w:val="single" w:sz="6" w:space="0" w:color="ADADAD"/>
              <w:right w:val="single" w:sz="6" w:space="0" w:color="ADADAD"/>
            </w:tcBorders>
            <w:shd w:val="clear" w:color="auto" w:fill="auto"/>
            <w:tcMar>
              <w:top w:w="45" w:type="dxa"/>
              <w:left w:w="105" w:type="dxa"/>
              <w:bottom w:w="45" w:type="dxa"/>
              <w:right w:w="105" w:type="dxa"/>
            </w:tcMar>
            <w:hideMark/>
          </w:tcPr>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b/>
                <w:bCs/>
                <w:color w:val="000000"/>
                <w:sz w:val="20"/>
                <w:szCs w:val="20"/>
                <w:bdr w:val="none" w:sz="0" w:space="0" w:color="auto" w:frame="1"/>
              </w:rPr>
              <w:t>3. Enhance Meaning</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Norms:</w:t>
            </w:r>
          </w:p>
          <w:p w:rsidR="00DA5083" w:rsidRPr="00DA5083" w:rsidRDefault="00DA5083" w:rsidP="00DA5083">
            <w:pPr>
              <w:numPr>
                <w:ilvl w:val="0"/>
                <w:numId w:val="4"/>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Provide challenging learning experiences involving higher order thinking and critical inquiry. Address relevant, real-world issues in an action-oriented manner.</w:t>
            </w:r>
          </w:p>
          <w:p w:rsidR="00DA5083" w:rsidRPr="00DA5083" w:rsidRDefault="00DA5083" w:rsidP="00DA5083">
            <w:pPr>
              <w:numPr>
                <w:ilvl w:val="0"/>
                <w:numId w:val="4"/>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Encourage discussion of relevant experiences. Incorporate student dialect into classroom dialogue.</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Procedures</w:t>
            </w:r>
            <w:r w:rsidRPr="00DA5083">
              <w:rPr>
                <w:rFonts w:ascii="Segoe UI" w:eastAsia="Times New Roman" w:hAnsi="Segoe UI" w:cs="Segoe UI"/>
                <w:color w:val="000000"/>
                <w:sz w:val="20"/>
                <w:szCs w:val="20"/>
              </w:rPr>
              <w:t>: Critical questioning; guided reciprocal peer questioning; posing problems; decision making; investigation of definitions; historical investigations; experimental inquiry; invention; art; simulations; and case study methods.</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Structures</w:t>
            </w:r>
            <w:r w:rsidRPr="00DA5083">
              <w:rPr>
                <w:rFonts w:ascii="Segoe UI" w:eastAsia="Times New Roman" w:hAnsi="Segoe UI" w:cs="Segoe UI"/>
                <w:color w:val="000000"/>
                <w:sz w:val="20"/>
                <w:szCs w:val="20"/>
              </w:rPr>
              <w:t>: Projects and the problem-posing model.</w:t>
            </w:r>
          </w:p>
        </w:tc>
      </w:tr>
      <w:tr w:rsidR="00DA5083" w:rsidRPr="00DA5083" w:rsidTr="00DA5083">
        <w:tc>
          <w:tcPr>
            <w:tcW w:w="9532" w:type="dxa"/>
            <w:tcBorders>
              <w:top w:val="single" w:sz="6" w:space="0" w:color="ADADAD"/>
              <w:left w:val="single" w:sz="6" w:space="0" w:color="ADADAD"/>
              <w:bottom w:val="single" w:sz="6" w:space="0" w:color="ADADAD"/>
              <w:right w:val="single" w:sz="6" w:space="0" w:color="ADADAD"/>
            </w:tcBorders>
            <w:shd w:val="clear" w:color="auto" w:fill="auto"/>
            <w:tcMar>
              <w:top w:w="45" w:type="dxa"/>
              <w:left w:w="105" w:type="dxa"/>
              <w:bottom w:w="45" w:type="dxa"/>
              <w:right w:w="105" w:type="dxa"/>
            </w:tcMar>
            <w:hideMark/>
          </w:tcPr>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b/>
                <w:bCs/>
                <w:color w:val="000000"/>
                <w:sz w:val="20"/>
                <w:szCs w:val="20"/>
                <w:bdr w:val="none" w:sz="0" w:space="0" w:color="auto" w:frame="1"/>
              </w:rPr>
              <w:t>4. Engender Competence</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Norms:</w:t>
            </w:r>
          </w:p>
          <w:p w:rsidR="00DA5083" w:rsidRPr="00DA5083" w:rsidRDefault="00DA5083" w:rsidP="00DA5083">
            <w:pPr>
              <w:numPr>
                <w:ilvl w:val="0"/>
                <w:numId w:val="5"/>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Connect the assessment process to the students' world, frames of reference, and values.</w:t>
            </w:r>
          </w:p>
          <w:p w:rsidR="00DA5083" w:rsidRPr="00DA5083" w:rsidRDefault="00DA5083" w:rsidP="00DA5083">
            <w:pPr>
              <w:numPr>
                <w:ilvl w:val="0"/>
                <w:numId w:val="5"/>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Include multiple ways to represent knowledge and skills and allow for attainment of outcomes at different points in time.</w:t>
            </w:r>
          </w:p>
          <w:p w:rsidR="00DA5083" w:rsidRPr="00DA5083" w:rsidRDefault="00DA5083" w:rsidP="00DA5083">
            <w:pPr>
              <w:numPr>
                <w:ilvl w:val="0"/>
                <w:numId w:val="5"/>
              </w:numPr>
              <w:spacing w:after="0" w:line="240" w:lineRule="auto"/>
              <w:ind w:left="300"/>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Encourage self-assessment.</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Procedures</w:t>
            </w:r>
            <w:r w:rsidRPr="00DA5083">
              <w:rPr>
                <w:rFonts w:ascii="Segoe UI" w:eastAsia="Times New Roman" w:hAnsi="Segoe UI" w:cs="Segoe UI"/>
                <w:color w:val="000000"/>
                <w:sz w:val="20"/>
                <w:szCs w:val="20"/>
              </w:rPr>
              <w:t>: Feedback; contextualized assessment; authentic assessment tasks; portfolios and process-folios; tests and testing formats critiqued for bias; and self-assessment.</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Structures</w:t>
            </w:r>
            <w:r w:rsidRPr="00DA5083">
              <w:rPr>
                <w:rFonts w:ascii="Segoe UI" w:eastAsia="Times New Roman" w:hAnsi="Segoe UI" w:cs="Segoe UI"/>
                <w:color w:val="000000"/>
                <w:sz w:val="20"/>
                <w:szCs w:val="20"/>
              </w:rPr>
              <w:t>: Narrative evaluations; credit/no credit systems; and contracts for grades.</w:t>
            </w:r>
          </w:p>
        </w:tc>
      </w:tr>
      <w:tr w:rsidR="00DA5083" w:rsidRPr="00DA5083" w:rsidTr="00DA5083">
        <w:tc>
          <w:tcPr>
            <w:tcW w:w="9532" w:type="dxa"/>
            <w:tcBorders>
              <w:top w:val="single" w:sz="6" w:space="0" w:color="ADADAD"/>
              <w:left w:val="single" w:sz="6" w:space="0" w:color="ADADAD"/>
              <w:bottom w:val="single" w:sz="6" w:space="0" w:color="ADADAD"/>
              <w:right w:val="single" w:sz="6" w:space="0" w:color="ADADAD"/>
            </w:tcBorders>
            <w:shd w:val="clear" w:color="auto" w:fill="auto"/>
            <w:tcMar>
              <w:top w:w="45" w:type="dxa"/>
              <w:left w:w="105" w:type="dxa"/>
              <w:bottom w:w="45" w:type="dxa"/>
              <w:right w:w="105" w:type="dxa"/>
            </w:tcMar>
            <w:hideMark/>
          </w:tcPr>
          <w:p w:rsidR="00DA5083" w:rsidRPr="00DA5083" w:rsidRDefault="00DA5083" w:rsidP="00DA5083">
            <w:pPr>
              <w:spacing w:after="0" w:line="240" w:lineRule="auto"/>
              <w:textAlignment w:val="baseline"/>
              <w:rPr>
                <w:rFonts w:ascii="Segoe UI" w:eastAsia="Times New Roman" w:hAnsi="Segoe UI" w:cs="Segoe UI"/>
                <w:color w:val="000000"/>
                <w:sz w:val="18"/>
                <w:szCs w:val="18"/>
              </w:rPr>
            </w:pPr>
            <w:r w:rsidRPr="00DA5083">
              <w:rPr>
                <w:rFonts w:ascii="Segoe UI" w:eastAsia="Times New Roman" w:hAnsi="Segoe UI" w:cs="Segoe UI"/>
                <w:color w:val="000000"/>
                <w:sz w:val="18"/>
                <w:szCs w:val="18"/>
              </w:rPr>
              <w:t xml:space="preserve">Based on </w:t>
            </w:r>
            <w:proofErr w:type="spellStart"/>
            <w:r w:rsidRPr="00DA5083">
              <w:rPr>
                <w:rFonts w:ascii="Segoe UI" w:eastAsia="Times New Roman" w:hAnsi="Segoe UI" w:cs="Segoe UI"/>
                <w:color w:val="000000"/>
                <w:sz w:val="18"/>
                <w:szCs w:val="18"/>
              </w:rPr>
              <w:t>Wlodkowski</w:t>
            </w:r>
            <w:proofErr w:type="spellEnd"/>
            <w:r w:rsidRPr="00DA5083">
              <w:rPr>
                <w:rFonts w:ascii="Segoe UI" w:eastAsia="Times New Roman" w:hAnsi="Segoe UI" w:cs="Segoe UI"/>
                <w:color w:val="000000"/>
                <w:sz w:val="18"/>
                <w:szCs w:val="18"/>
              </w:rPr>
              <w:t xml:space="preserve">, R. J., and M. B. Ginsberg. (1995). </w:t>
            </w:r>
            <w:r w:rsidRPr="00DA5083">
              <w:rPr>
                <w:rFonts w:ascii="Segoe UI" w:eastAsia="Times New Roman" w:hAnsi="Segoe UI" w:cs="Segoe UI"/>
                <w:i/>
                <w:iCs/>
                <w:color w:val="000000"/>
                <w:sz w:val="18"/>
                <w:szCs w:val="18"/>
                <w:bdr w:val="none" w:sz="0" w:space="0" w:color="auto" w:frame="1"/>
              </w:rPr>
              <w:t>Diversity and Motivation: Culturally Responsive Teaching</w:t>
            </w:r>
            <w:r w:rsidRPr="00DA5083">
              <w:rPr>
                <w:rFonts w:ascii="Segoe UI" w:eastAsia="Times New Roman" w:hAnsi="Segoe UI" w:cs="Segoe UI"/>
                <w:color w:val="000000"/>
                <w:sz w:val="18"/>
                <w:szCs w:val="18"/>
              </w:rPr>
              <w:t>. San Francisco: Jossey-Bass.</w:t>
            </w:r>
          </w:p>
        </w:tc>
      </w:tr>
    </w:tbl>
    <w:p w:rsid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br/>
        <w:t xml:space="preserve">Teaching in a way that respects diversity is challenging, of course. Consider the following case example. The </w:t>
      </w:r>
      <w:r w:rsidRPr="00DA5083">
        <w:rPr>
          <w:rFonts w:ascii="Segoe UI" w:eastAsia="Times New Roman" w:hAnsi="Segoe UI" w:cs="Segoe UI"/>
          <w:i/>
          <w:iCs/>
          <w:color w:val="000000"/>
          <w:sz w:val="20"/>
          <w:szCs w:val="20"/>
          <w:bdr w:val="none" w:sz="0" w:space="0" w:color="auto" w:frame="1"/>
        </w:rPr>
        <w:t>norm</w:t>
      </w:r>
      <w:r w:rsidRPr="00DA5083">
        <w:rPr>
          <w:rFonts w:ascii="Segoe UI" w:eastAsia="Times New Roman" w:hAnsi="Segoe UI" w:cs="Segoe UI"/>
          <w:color w:val="000000"/>
          <w:sz w:val="20"/>
          <w:szCs w:val="20"/>
        </w:rPr>
        <w:t xml:space="preserve"> that Mr. Clark, a U.S. history teacher, is aiming for is “sharing the ownership of knowing.” The topic is the notion of cultural pluralism, and, later, the roles that our socioeconomic backgrounds play in our lives. Clark uses the </w:t>
      </w:r>
      <w:r w:rsidRPr="00DA5083">
        <w:rPr>
          <w:rFonts w:ascii="Segoe UI" w:eastAsia="Times New Roman" w:hAnsi="Segoe UI" w:cs="Segoe UI"/>
          <w:i/>
          <w:iCs/>
          <w:color w:val="000000"/>
          <w:sz w:val="20"/>
          <w:szCs w:val="20"/>
          <w:bdr w:val="none" w:sz="0" w:space="0" w:color="auto" w:frame="1"/>
        </w:rPr>
        <w:t>procedures</w:t>
      </w:r>
      <w:r w:rsidRPr="00DA5083">
        <w:rPr>
          <w:rFonts w:ascii="Segoe UI" w:eastAsia="Times New Roman" w:hAnsi="Segoe UI" w:cs="Segoe UI"/>
          <w:color w:val="000000"/>
          <w:sz w:val="20"/>
          <w:szCs w:val="20"/>
        </w:rPr>
        <w:t xml:space="preserve"> of collaborative learning and critical questioning to facilitate student comprehension of the concepts of “melting pot,” “social class,” and other terms.</w:t>
      </w:r>
    </w:p>
    <w:p w:rsidR="0009328B" w:rsidRPr="00DA5083" w:rsidRDefault="0009328B"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Clark asks the class to first brainstorm words that are associated with culture. Students volunteer “language,” “ethnicity,” “gender,” “religion,” “food preference,” and so forth. In pairs, students then talk to their partner about ways in which they believe they are culturally similar and distinct from each other.</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After 15 minutes, the teacher asks students to note three observations about the concept of culture. The most prevalent response is that “we were surprised at how much we have in common.” Clark indicates that he sees this as well. He asks the class, “If we have such commonality, why do some groups of people in the United States have such difficulty becoming economically secure?” Note what happen as students struggle over whose perceptions are the most accurate. </w:t>
      </w:r>
    </w:p>
    <w:p w:rsidR="00DA5083" w:rsidRDefault="00DA5083" w:rsidP="00DA5083">
      <w:pPr>
        <w:spacing w:after="0" w:line="240" w:lineRule="auto"/>
        <w:textAlignment w:val="baseline"/>
        <w:rPr>
          <w:rFonts w:ascii="Segoe UI" w:eastAsia="Times New Roman" w:hAnsi="Segoe UI" w:cs="Segoe UI"/>
          <w:i/>
          <w:iCs/>
          <w:color w:val="000000"/>
          <w:sz w:val="20"/>
          <w:szCs w:val="20"/>
          <w:bdr w:val="none" w:sz="0" w:space="0" w:color="auto" w:frame="1"/>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First student</w:t>
      </w:r>
      <w:r w:rsidRPr="00DA5083">
        <w:rPr>
          <w:rFonts w:ascii="Segoe UI" w:eastAsia="Times New Roman" w:hAnsi="Segoe UI" w:cs="Segoe UI"/>
          <w:color w:val="000000"/>
          <w:sz w:val="20"/>
          <w:szCs w:val="20"/>
        </w:rPr>
        <w:t>: Some have more difficulty because of discrimination, because people have prejudices against people whose skin is a different color from theirs.</w:t>
      </w:r>
    </w:p>
    <w:p w:rsidR="00DA5083" w:rsidRDefault="00DA5083" w:rsidP="00DA5083">
      <w:pPr>
        <w:spacing w:after="0" w:line="240" w:lineRule="auto"/>
        <w:textAlignment w:val="baseline"/>
        <w:rPr>
          <w:rFonts w:ascii="Segoe UI" w:eastAsia="Times New Roman" w:hAnsi="Segoe UI" w:cs="Segoe UI"/>
          <w:i/>
          <w:iCs/>
          <w:color w:val="000000"/>
          <w:sz w:val="20"/>
          <w:szCs w:val="20"/>
          <w:bdr w:val="none" w:sz="0" w:space="0" w:color="auto" w:frame="1"/>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lastRenderedPageBreak/>
        <w:t>Second student</w:t>
      </w:r>
      <w:r w:rsidRPr="00DA5083">
        <w:rPr>
          <w:rFonts w:ascii="Segoe UI" w:eastAsia="Times New Roman" w:hAnsi="Segoe UI" w:cs="Segoe UI"/>
          <w:color w:val="000000"/>
          <w:sz w:val="20"/>
          <w:szCs w:val="20"/>
        </w:rPr>
        <w:t>: I don't think it's that simple. Look how many people of color are doing well. We've got generals, mayors, and corporation executives. There's a black middle class and they are economically secure.</w:t>
      </w:r>
    </w:p>
    <w:p w:rsidR="00DA5083" w:rsidRDefault="00DA5083" w:rsidP="00DA5083">
      <w:pPr>
        <w:spacing w:after="0" w:line="240" w:lineRule="auto"/>
        <w:textAlignment w:val="baseline"/>
        <w:rPr>
          <w:rFonts w:ascii="Segoe UI" w:eastAsia="Times New Roman" w:hAnsi="Segoe UI" w:cs="Segoe UI"/>
          <w:i/>
          <w:iCs/>
          <w:color w:val="000000"/>
          <w:sz w:val="20"/>
          <w:szCs w:val="20"/>
          <w:bdr w:val="none" w:sz="0" w:space="0" w:color="auto" w:frame="1"/>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i/>
          <w:iCs/>
          <w:color w:val="000000"/>
          <w:sz w:val="20"/>
          <w:szCs w:val="20"/>
          <w:bdr w:val="none" w:sz="0" w:space="0" w:color="auto" w:frame="1"/>
        </w:rPr>
        <w:t>Third student</w:t>
      </w:r>
      <w:r w:rsidRPr="00DA5083">
        <w:rPr>
          <w:rFonts w:ascii="Segoe UI" w:eastAsia="Times New Roman" w:hAnsi="Segoe UI" w:cs="Segoe UI"/>
          <w:color w:val="000000"/>
          <w:sz w:val="20"/>
          <w:szCs w:val="20"/>
        </w:rPr>
        <w:t>: Yeah, that might be so, but it isn't as many people as you think. The newspapers just make a big deal about minorities succeeding.</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Clark's ground rules </w:t>
      </w:r>
      <w:r w:rsidRPr="00DA5083">
        <w:rPr>
          <w:rFonts w:ascii="Segoe UI" w:eastAsia="Times New Roman" w:hAnsi="Segoe UI" w:cs="Segoe UI"/>
          <w:i/>
          <w:iCs/>
          <w:color w:val="000000"/>
          <w:sz w:val="20"/>
          <w:szCs w:val="20"/>
          <w:bdr w:val="none" w:sz="0" w:space="0" w:color="auto" w:frame="1"/>
        </w:rPr>
        <w:t>(structure)</w:t>
      </w:r>
      <w:r w:rsidRPr="00DA5083">
        <w:rPr>
          <w:rFonts w:ascii="Segoe UI" w:eastAsia="Times New Roman" w:hAnsi="Segoe UI" w:cs="Segoe UI"/>
          <w:color w:val="000000"/>
          <w:sz w:val="20"/>
          <w:szCs w:val="20"/>
        </w:rPr>
        <w:t xml:space="preserve"> for this conversation endorse honesty in offering opinions and forbid putdowns, so the tone of this exchange is respectful. Interest in the topic intensifies </w:t>
      </w:r>
      <w:proofErr w:type="gramStart"/>
      <w:r w:rsidRPr="00DA5083">
        <w:rPr>
          <w:rFonts w:ascii="Segoe UI" w:eastAsia="Times New Roman" w:hAnsi="Segoe UI" w:cs="Segoe UI"/>
          <w:color w:val="000000"/>
          <w:sz w:val="20"/>
          <w:szCs w:val="20"/>
        </w:rPr>
        <w:t>as a result of</w:t>
      </w:r>
      <w:proofErr w:type="gramEnd"/>
      <w:r w:rsidRPr="00DA5083">
        <w:rPr>
          <w:rFonts w:ascii="Segoe UI" w:eastAsia="Times New Roman" w:hAnsi="Segoe UI" w:cs="Segoe UI"/>
          <w:color w:val="000000"/>
          <w:sz w:val="20"/>
          <w:szCs w:val="20"/>
        </w:rPr>
        <w:t xml:space="preserve"> the exchange. Clark acknowledges the different points of view and asks the class: “What questions might provide insights or clarify the differences between these viewpoints?” </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The class breaks into small groups after which Clark records the suggested questions. Some that emerge: </w:t>
      </w:r>
    </w:p>
    <w:p w:rsidR="00DA5083" w:rsidRPr="00DA5083" w:rsidRDefault="00DA5083" w:rsidP="00DA5083">
      <w:pPr>
        <w:numPr>
          <w:ilvl w:val="0"/>
          <w:numId w:val="6"/>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Which ethnic groups are most economically successful? Least successful?</w:t>
      </w:r>
    </w:p>
    <w:p w:rsidR="00DA5083" w:rsidRPr="00DA5083" w:rsidRDefault="00DA5083" w:rsidP="00DA5083">
      <w:pPr>
        <w:numPr>
          <w:ilvl w:val="0"/>
          <w:numId w:val="6"/>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What proportion of each ethnic group is lower income, middle income, upper income?</w:t>
      </w:r>
    </w:p>
    <w:p w:rsidR="00DA5083" w:rsidRPr="00DA5083" w:rsidRDefault="00DA5083" w:rsidP="00DA5083">
      <w:pPr>
        <w:numPr>
          <w:ilvl w:val="0"/>
          <w:numId w:val="6"/>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Are more people of color economically successful today than 20 years ago? 100 years ago?</w:t>
      </w:r>
    </w:p>
    <w:p w:rsidR="00DA5083" w:rsidRPr="00DA5083" w:rsidRDefault="00DA5083" w:rsidP="00DA5083">
      <w:pPr>
        <w:numPr>
          <w:ilvl w:val="0"/>
          <w:numId w:val="6"/>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What is the relationship of educational opportunity to income status?</w:t>
      </w:r>
    </w:p>
    <w:p w:rsidR="00DA5083" w:rsidRPr="00DA5083" w:rsidRDefault="00DA5083" w:rsidP="00DA5083">
      <w:pPr>
        <w:numPr>
          <w:ilvl w:val="0"/>
          <w:numId w:val="6"/>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Do middle- and upper-class African Americans and Latinos encounter more discrimination than do European Americans?</w:t>
      </w:r>
    </w:p>
    <w:p w:rsidR="00DA5083" w:rsidRPr="00DA5083" w:rsidRDefault="00DA5083" w:rsidP="00DA5083">
      <w:pPr>
        <w:numPr>
          <w:ilvl w:val="0"/>
          <w:numId w:val="6"/>
        </w:numPr>
        <w:spacing w:after="0" w:line="240" w:lineRule="auto"/>
        <w:ind w:left="375"/>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Is there a difference in the quality of family and community support among middle- and upper-income African Americans, European Americans, and Latinos?</w:t>
      </w:r>
    </w:p>
    <w:p w:rsidR="00DA5083" w:rsidRPr="00DA5083" w:rsidRDefault="00DA5083" w:rsidP="00DA5083">
      <w:pPr>
        <w:spacing w:after="0" w:line="240" w:lineRule="auto"/>
        <w:textAlignment w:val="baseline"/>
        <w:rPr>
          <w:rFonts w:ascii="Segoe UI" w:eastAsia="Times New Roman" w:hAnsi="Segoe UI" w:cs="Segoe UI"/>
          <w:color w:val="000000"/>
          <w:sz w:val="16"/>
          <w:szCs w:val="16"/>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proofErr w:type="gramStart"/>
      <w:r w:rsidRPr="00DA5083">
        <w:rPr>
          <w:rFonts w:ascii="Segoe UI" w:eastAsia="Times New Roman" w:hAnsi="Segoe UI" w:cs="Segoe UI"/>
          <w:color w:val="000000"/>
          <w:sz w:val="20"/>
          <w:szCs w:val="20"/>
        </w:rPr>
        <w:t>As a result of</w:t>
      </w:r>
      <w:proofErr w:type="gramEnd"/>
      <w:r w:rsidRPr="00DA5083">
        <w:rPr>
          <w:rFonts w:ascii="Segoe UI" w:eastAsia="Times New Roman" w:hAnsi="Segoe UI" w:cs="Segoe UI"/>
          <w:color w:val="000000"/>
          <w:sz w:val="20"/>
          <w:szCs w:val="20"/>
        </w:rPr>
        <w:t xml:space="preserve"> the discussion, students begin to see how the viewpoints about race and socioeconomic backgrounds are part of a broad and complex picture. The difference of opinion has become a stimulus for deeper learning. Students then divide into three groups: one to conduct library research of relevant documents and studies; one to read and analyze relevant biographies and autobiographies; and one to interview community members who represent different cultures.</w:t>
      </w:r>
    </w:p>
    <w:p w:rsidR="00DA5083" w:rsidRPr="00DA5083" w:rsidRDefault="00DA5083" w:rsidP="00DA5083">
      <w:pPr>
        <w:spacing w:after="0" w:line="240" w:lineRule="auto"/>
        <w:textAlignment w:val="baseline"/>
        <w:outlineLvl w:val="1"/>
        <w:rPr>
          <w:rFonts w:ascii="Segoe UI" w:eastAsia="Times New Roman" w:hAnsi="Segoe UI" w:cs="Segoe UI"/>
          <w:b/>
          <w:bCs/>
          <w:color w:val="393939"/>
          <w:sz w:val="16"/>
          <w:szCs w:val="16"/>
        </w:rPr>
      </w:pPr>
    </w:p>
    <w:p w:rsidR="00DA5083" w:rsidRPr="00DA5083" w:rsidRDefault="00DA5083" w:rsidP="00DA5083">
      <w:pPr>
        <w:spacing w:after="0" w:line="240" w:lineRule="auto"/>
        <w:textAlignment w:val="baseline"/>
        <w:outlineLvl w:val="1"/>
        <w:rPr>
          <w:rFonts w:ascii="Segoe UI" w:eastAsia="Times New Roman" w:hAnsi="Segoe UI" w:cs="Segoe UI"/>
          <w:b/>
          <w:bCs/>
          <w:color w:val="393939"/>
          <w:sz w:val="20"/>
          <w:szCs w:val="20"/>
        </w:rPr>
      </w:pPr>
      <w:r w:rsidRPr="00DA5083">
        <w:rPr>
          <w:rFonts w:ascii="Segoe UI" w:eastAsia="Times New Roman" w:hAnsi="Segoe UI" w:cs="Segoe UI"/>
          <w:b/>
          <w:bCs/>
          <w:color w:val="393939"/>
          <w:sz w:val="20"/>
          <w:szCs w:val="20"/>
        </w:rPr>
        <w:t>A Holistic Approach</w:t>
      </w: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For culturally different students, engagement in learning is most likely to occur when they are intrinsically motivated to learn. This motivational framework provides a holistic and culturally responsive way to create, plan, and refine teaching activities, lessons, and assessment practices.</w:t>
      </w:r>
    </w:p>
    <w:p w:rsidR="00DA5083" w:rsidRDefault="00DA5083" w:rsidP="00DA5083">
      <w:pPr>
        <w:spacing w:after="0" w:line="240" w:lineRule="auto"/>
        <w:textAlignment w:val="baseline"/>
        <w:outlineLvl w:val="2"/>
        <w:rPr>
          <w:rFonts w:ascii="Segoe UI" w:eastAsia="Times New Roman" w:hAnsi="Segoe UI" w:cs="Segoe UI"/>
          <w:b/>
          <w:bCs/>
          <w:color w:val="393939"/>
          <w:sz w:val="20"/>
          <w:szCs w:val="20"/>
        </w:rPr>
      </w:pPr>
    </w:p>
    <w:p w:rsidR="00DA5083" w:rsidRDefault="00DA5083" w:rsidP="00DA5083">
      <w:pPr>
        <w:spacing w:after="0" w:line="240" w:lineRule="auto"/>
        <w:textAlignment w:val="baseline"/>
        <w:outlineLvl w:val="2"/>
        <w:rPr>
          <w:rFonts w:ascii="Segoe UI" w:eastAsia="Times New Roman" w:hAnsi="Segoe UI" w:cs="Segoe UI"/>
          <w:b/>
          <w:bCs/>
          <w:color w:val="393939"/>
          <w:sz w:val="20"/>
          <w:szCs w:val="20"/>
        </w:rPr>
      </w:pPr>
      <w:bookmarkStart w:id="0" w:name="_GoBack"/>
      <w:bookmarkEnd w:id="0"/>
      <w:r w:rsidRPr="00DA5083">
        <w:rPr>
          <w:rFonts w:ascii="Segoe UI" w:eastAsia="Times New Roman" w:hAnsi="Segoe UI" w:cs="Segoe UI"/>
          <w:b/>
          <w:bCs/>
          <w:color w:val="393939"/>
          <w:sz w:val="20"/>
          <w:szCs w:val="20"/>
        </w:rPr>
        <w:t xml:space="preserve">References </w:t>
      </w:r>
    </w:p>
    <w:p w:rsidR="00DA5083" w:rsidRPr="00DA5083" w:rsidRDefault="00DA5083" w:rsidP="00DA5083">
      <w:pPr>
        <w:spacing w:after="0" w:line="240" w:lineRule="auto"/>
        <w:textAlignment w:val="baseline"/>
        <w:outlineLvl w:val="2"/>
        <w:rPr>
          <w:rFonts w:ascii="Segoe UI" w:eastAsia="Times New Roman" w:hAnsi="Segoe UI" w:cs="Segoe UI"/>
          <w:b/>
          <w:bCs/>
          <w:color w:val="393939"/>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Banks, J. A. (1993). “Multicultural Education: Historical Development, Dimensions, and Practice.” In </w:t>
      </w:r>
      <w:r w:rsidRPr="00DA5083">
        <w:rPr>
          <w:rFonts w:ascii="Segoe UI" w:eastAsia="Times New Roman" w:hAnsi="Segoe UI" w:cs="Segoe UI"/>
          <w:i/>
          <w:iCs/>
          <w:color w:val="000000"/>
          <w:sz w:val="20"/>
          <w:szCs w:val="20"/>
          <w:bdr w:val="none" w:sz="0" w:space="0" w:color="auto" w:frame="1"/>
        </w:rPr>
        <w:t>Review of Research in Education, Vol. 19</w:t>
      </w:r>
      <w:r w:rsidRPr="00DA5083">
        <w:rPr>
          <w:rFonts w:ascii="Segoe UI" w:eastAsia="Times New Roman" w:hAnsi="Segoe UI" w:cs="Segoe UI"/>
          <w:color w:val="000000"/>
          <w:sz w:val="20"/>
          <w:szCs w:val="20"/>
        </w:rPr>
        <w:t>, edited by L. Darling-Hammond. Washington, D.C.: American Educational Research Association.</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Csikszentmihalyi, M., and I. S. Csikszentmihalyi. (1988). </w:t>
      </w:r>
      <w:r w:rsidRPr="00DA5083">
        <w:rPr>
          <w:rFonts w:ascii="Segoe UI" w:eastAsia="Times New Roman" w:hAnsi="Segoe UI" w:cs="Segoe UI"/>
          <w:i/>
          <w:iCs/>
          <w:color w:val="000000"/>
          <w:sz w:val="20"/>
          <w:szCs w:val="20"/>
          <w:bdr w:val="none" w:sz="0" w:space="0" w:color="auto" w:frame="1"/>
        </w:rPr>
        <w:t>Optimal Experience: Psychological Studies of Flow in Consciousness</w:t>
      </w:r>
      <w:r w:rsidRPr="00DA5083">
        <w:rPr>
          <w:rFonts w:ascii="Segoe UI" w:eastAsia="Times New Roman" w:hAnsi="Segoe UI" w:cs="Segoe UI"/>
          <w:color w:val="000000"/>
          <w:sz w:val="20"/>
          <w:szCs w:val="20"/>
        </w:rPr>
        <w:t>. New York: Cambridge University Press.</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Cummins, J. (1986). “Empowering Minority Students: A Framework for Intervention.” </w:t>
      </w:r>
      <w:r w:rsidRPr="00DA5083">
        <w:rPr>
          <w:rFonts w:ascii="Segoe UI" w:eastAsia="Times New Roman" w:hAnsi="Segoe UI" w:cs="Segoe UI"/>
          <w:i/>
          <w:iCs/>
          <w:color w:val="000000"/>
          <w:sz w:val="20"/>
          <w:szCs w:val="20"/>
          <w:bdr w:val="none" w:sz="0" w:space="0" w:color="auto" w:frame="1"/>
        </w:rPr>
        <w:t>Harvard Educational Review</w:t>
      </w:r>
      <w:r w:rsidRPr="00DA5083">
        <w:rPr>
          <w:rFonts w:ascii="Segoe UI" w:eastAsia="Times New Roman" w:hAnsi="Segoe UI" w:cs="Segoe UI"/>
          <w:color w:val="000000"/>
          <w:sz w:val="20"/>
          <w:szCs w:val="20"/>
        </w:rPr>
        <w:t xml:space="preserve"> 56, 1: 18–36.</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Deci, E. L., and R. M. Ryan. (1991). “A Motivational Approach to Self: Integration in Personality.” In </w:t>
      </w:r>
      <w:r w:rsidRPr="00DA5083">
        <w:rPr>
          <w:rFonts w:ascii="Segoe UI" w:eastAsia="Times New Roman" w:hAnsi="Segoe UI" w:cs="Segoe UI"/>
          <w:i/>
          <w:iCs/>
          <w:color w:val="000000"/>
          <w:sz w:val="20"/>
          <w:szCs w:val="20"/>
          <w:bdr w:val="none" w:sz="0" w:space="0" w:color="auto" w:frame="1"/>
        </w:rPr>
        <w:t>Nebraska Symposium on Motivation: Vol. 38. Perspectives on Motivation</w:t>
      </w:r>
      <w:r w:rsidRPr="00DA5083">
        <w:rPr>
          <w:rFonts w:ascii="Segoe UI" w:eastAsia="Times New Roman" w:hAnsi="Segoe UI" w:cs="Segoe UI"/>
          <w:color w:val="000000"/>
          <w:sz w:val="20"/>
          <w:szCs w:val="20"/>
        </w:rPr>
        <w:t xml:space="preserve">, edited by R. </w:t>
      </w:r>
      <w:proofErr w:type="spellStart"/>
      <w:r w:rsidRPr="00DA5083">
        <w:rPr>
          <w:rFonts w:ascii="Segoe UI" w:eastAsia="Times New Roman" w:hAnsi="Segoe UI" w:cs="Segoe UI"/>
          <w:color w:val="000000"/>
          <w:sz w:val="20"/>
          <w:szCs w:val="20"/>
        </w:rPr>
        <w:t>Dienstbier</w:t>
      </w:r>
      <w:proofErr w:type="spellEnd"/>
      <w:r w:rsidRPr="00DA5083">
        <w:rPr>
          <w:rFonts w:ascii="Segoe UI" w:eastAsia="Times New Roman" w:hAnsi="Segoe UI" w:cs="Segoe UI"/>
          <w:color w:val="000000"/>
          <w:sz w:val="20"/>
          <w:szCs w:val="20"/>
        </w:rPr>
        <w:t>. Lincoln: University of Nebraska Press.</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Deci, E. L., and R. M. Ryan. (1985). </w:t>
      </w:r>
      <w:r w:rsidRPr="00DA5083">
        <w:rPr>
          <w:rFonts w:ascii="Segoe UI" w:eastAsia="Times New Roman" w:hAnsi="Segoe UI" w:cs="Segoe UI"/>
          <w:i/>
          <w:iCs/>
          <w:color w:val="000000"/>
          <w:sz w:val="20"/>
          <w:szCs w:val="20"/>
          <w:bdr w:val="none" w:sz="0" w:space="0" w:color="auto" w:frame="1"/>
        </w:rPr>
        <w:t>Intrinsic Motivation and Self-Determination in Human Behavior</w:t>
      </w:r>
      <w:r w:rsidRPr="00DA5083">
        <w:rPr>
          <w:rFonts w:ascii="Segoe UI" w:eastAsia="Times New Roman" w:hAnsi="Segoe UI" w:cs="Segoe UI"/>
          <w:color w:val="000000"/>
          <w:sz w:val="20"/>
          <w:szCs w:val="20"/>
        </w:rPr>
        <w:t>. New York: Plenum.</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r w:rsidRPr="00DA5083">
        <w:rPr>
          <w:rFonts w:ascii="Segoe UI" w:eastAsia="Times New Roman" w:hAnsi="Segoe UI" w:cs="Segoe UI"/>
          <w:color w:val="000000"/>
          <w:sz w:val="20"/>
          <w:szCs w:val="20"/>
        </w:rPr>
        <w:t xml:space="preserve">Deci, E. L., R. J. Vallerand, L. C. Pelletier, and R. M. Ryan. (1991). “Motivation and Education: The Self-Determination Perspective.” </w:t>
      </w:r>
      <w:r w:rsidRPr="00DA5083">
        <w:rPr>
          <w:rFonts w:ascii="Segoe UI" w:eastAsia="Times New Roman" w:hAnsi="Segoe UI" w:cs="Segoe UI"/>
          <w:i/>
          <w:iCs/>
          <w:color w:val="000000"/>
          <w:sz w:val="20"/>
          <w:szCs w:val="20"/>
          <w:bdr w:val="none" w:sz="0" w:space="0" w:color="auto" w:frame="1"/>
        </w:rPr>
        <w:t>Educational Psychologist</w:t>
      </w:r>
      <w:r w:rsidRPr="00DA5083">
        <w:rPr>
          <w:rFonts w:ascii="Segoe UI" w:eastAsia="Times New Roman" w:hAnsi="Segoe UI" w:cs="Segoe UI"/>
          <w:color w:val="000000"/>
          <w:sz w:val="20"/>
          <w:szCs w:val="20"/>
        </w:rPr>
        <w:t xml:space="preserve"> 26, 3 and 4: 325–346.</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proofErr w:type="spellStart"/>
      <w:r w:rsidRPr="00DA5083">
        <w:rPr>
          <w:rFonts w:ascii="Segoe UI" w:eastAsia="Times New Roman" w:hAnsi="Segoe UI" w:cs="Segoe UI"/>
          <w:color w:val="000000"/>
          <w:sz w:val="20"/>
          <w:szCs w:val="20"/>
        </w:rPr>
        <w:t>Ogbu</w:t>
      </w:r>
      <w:proofErr w:type="spellEnd"/>
      <w:r w:rsidRPr="00DA5083">
        <w:rPr>
          <w:rFonts w:ascii="Segoe UI" w:eastAsia="Times New Roman" w:hAnsi="Segoe UI" w:cs="Segoe UI"/>
          <w:color w:val="000000"/>
          <w:sz w:val="20"/>
          <w:szCs w:val="20"/>
        </w:rPr>
        <w:t xml:space="preserve">, J. U. (1995). “Understanding Cultural Diversity and Learning.” In </w:t>
      </w:r>
      <w:r w:rsidRPr="00DA5083">
        <w:rPr>
          <w:rFonts w:ascii="Segoe UI" w:eastAsia="Times New Roman" w:hAnsi="Segoe UI" w:cs="Segoe UI"/>
          <w:i/>
          <w:iCs/>
          <w:color w:val="000000"/>
          <w:sz w:val="20"/>
          <w:szCs w:val="20"/>
          <w:bdr w:val="none" w:sz="0" w:space="0" w:color="auto" w:frame="1"/>
        </w:rPr>
        <w:t>Handbook of Research on Multicultural Education</w:t>
      </w:r>
      <w:r w:rsidRPr="00DA5083">
        <w:rPr>
          <w:rFonts w:ascii="Segoe UI" w:eastAsia="Times New Roman" w:hAnsi="Segoe UI" w:cs="Segoe UI"/>
          <w:color w:val="000000"/>
          <w:sz w:val="20"/>
          <w:szCs w:val="20"/>
        </w:rPr>
        <w:t>, edited by J. A. Banks and C. A. M. Banks. New York: Macmillan.</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proofErr w:type="spellStart"/>
      <w:r w:rsidRPr="00DA5083">
        <w:rPr>
          <w:rFonts w:ascii="Segoe UI" w:eastAsia="Times New Roman" w:hAnsi="Segoe UI" w:cs="Segoe UI"/>
          <w:color w:val="000000"/>
          <w:sz w:val="20"/>
          <w:szCs w:val="20"/>
        </w:rPr>
        <w:t>Olneck</w:t>
      </w:r>
      <w:proofErr w:type="spellEnd"/>
      <w:r w:rsidRPr="00DA5083">
        <w:rPr>
          <w:rFonts w:ascii="Segoe UI" w:eastAsia="Times New Roman" w:hAnsi="Segoe UI" w:cs="Segoe UI"/>
          <w:color w:val="000000"/>
          <w:sz w:val="20"/>
          <w:szCs w:val="20"/>
        </w:rPr>
        <w:t xml:space="preserve">, M. R. (1995). “Immigrants and Education.” In </w:t>
      </w:r>
      <w:r w:rsidRPr="00DA5083">
        <w:rPr>
          <w:rFonts w:ascii="Segoe UI" w:eastAsia="Times New Roman" w:hAnsi="Segoe UI" w:cs="Segoe UI"/>
          <w:i/>
          <w:iCs/>
          <w:color w:val="000000"/>
          <w:sz w:val="20"/>
          <w:szCs w:val="20"/>
          <w:bdr w:val="none" w:sz="0" w:space="0" w:color="auto" w:frame="1"/>
        </w:rPr>
        <w:t>Handbook of Research on Multicultural Education</w:t>
      </w:r>
      <w:r w:rsidRPr="00DA5083">
        <w:rPr>
          <w:rFonts w:ascii="Segoe UI" w:eastAsia="Times New Roman" w:hAnsi="Segoe UI" w:cs="Segoe UI"/>
          <w:color w:val="000000"/>
          <w:sz w:val="20"/>
          <w:szCs w:val="20"/>
        </w:rPr>
        <w:t>, edited by J. A. Banks and C. A. M. Banks. New York: Macmillan.</w:t>
      </w:r>
    </w:p>
    <w:p w:rsidR="00DA5083" w:rsidRDefault="00DA5083" w:rsidP="00DA5083">
      <w:pPr>
        <w:spacing w:after="0" w:line="240" w:lineRule="auto"/>
        <w:textAlignment w:val="baseline"/>
        <w:rPr>
          <w:rFonts w:ascii="Segoe UI" w:eastAsia="Times New Roman" w:hAnsi="Segoe UI" w:cs="Segoe UI"/>
          <w:color w:val="000000"/>
          <w:sz w:val="20"/>
          <w:szCs w:val="20"/>
        </w:rPr>
      </w:pPr>
    </w:p>
    <w:p w:rsidR="00DA5083" w:rsidRPr="00DA5083" w:rsidRDefault="00DA5083" w:rsidP="00DA5083">
      <w:pPr>
        <w:spacing w:after="0" w:line="240" w:lineRule="auto"/>
        <w:textAlignment w:val="baseline"/>
        <w:rPr>
          <w:rFonts w:ascii="Segoe UI" w:eastAsia="Times New Roman" w:hAnsi="Segoe UI" w:cs="Segoe UI"/>
          <w:color w:val="000000"/>
          <w:sz w:val="20"/>
          <w:szCs w:val="20"/>
        </w:rPr>
      </w:pPr>
      <w:proofErr w:type="spellStart"/>
      <w:r w:rsidRPr="00DA5083">
        <w:rPr>
          <w:rFonts w:ascii="Segoe UI" w:eastAsia="Times New Roman" w:hAnsi="Segoe UI" w:cs="Segoe UI"/>
          <w:color w:val="000000"/>
          <w:sz w:val="20"/>
          <w:szCs w:val="20"/>
        </w:rPr>
        <w:t>Wlodkowski</w:t>
      </w:r>
      <w:proofErr w:type="spellEnd"/>
      <w:r w:rsidRPr="00DA5083">
        <w:rPr>
          <w:rFonts w:ascii="Segoe UI" w:eastAsia="Times New Roman" w:hAnsi="Segoe UI" w:cs="Segoe UI"/>
          <w:color w:val="000000"/>
          <w:sz w:val="20"/>
          <w:szCs w:val="20"/>
        </w:rPr>
        <w:t xml:space="preserve">, R. J., and M. B. Ginsberg. (1995). </w:t>
      </w:r>
      <w:r w:rsidRPr="00DA5083">
        <w:rPr>
          <w:rFonts w:ascii="Segoe UI" w:eastAsia="Times New Roman" w:hAnsi="Segoe UI" w:cs="Segoe UI"/>
          <w:i/>
          <w:iCs/>
          <w:color w:val="000000"/>
          <w:sz w:val="20"/>
          <w:szCs w:val="20"/>
          <w:bdr w:val="none" w:sz="0" w:space="0" w:color="auto" w:frame="1"/>
        </w:rPr>
        <w:t>Diversity and Motivation: Culturally Responsive Teaching</w:t>
      </w:r>
      <w:r w:rsidRPr="00DA5083">
        <w:rPr>
          <w:rFonts w:ascii="Segoe UI" w:eastAsia="Times New Roman" w:hAnsi="Segoe UI" w:cs="Segoe UI"/>
          <w:color w:val="000000"/>
          <w:sz w:val="20"/>
          <w:szCs w:val="20"/>
        </w:rPr>
        <w:t>. San Francisco: Jossey-Bass.</w:t>
      </w:r>
    </w:p>
    <w:p w:rsidR="00DA5083" w:rsidRDefault="00DA5083" w:rsidP="00DA5083">
      <w:pPr>
        <w:spacing w:after="0" w:line="240" w:lineRule="auto"/>
        <w:textAlignment w:val="baseline"/>
        <w:rPr>
          <w:rFonts w:ascii="Segoe UI" w:eastAsia="Times New Roman" w:hAnsi="Segoe UI" w:cs="Segoe UI"/>
          <w:b/>
          <w:bCs/>
          <w:color w:val="333333"/>
          <w:sz w:val="20"/>
          <w:szCs w:val="20"/>
          <w:bdr w:val="none" w:sz="0" w:space="0" w:color="auto" w:frame="1"/>
        </w:rPr>
      </w:pPr>
    </w:p>
    <w:p w:rsidR="00B568B6" w:rsidRDefault="00B568B6" w:rsidP="00DA5083">
      <w:pPr>
        <w:spacing w:after="0" w:line="240" w:lineRule="auto"/>
        <w:textAlignment w:val="baseline"/>
        <w:rPr>
          <w:rFonts w:ascii="Segoe UI" w:eastAsia="Times New Roman" w:hAnsi="Segoe UI" w:cs="Segoe UI"/>
          <w:b/>
          <w:bCs/>
          <w:color w:val="333333"/>
          <w:sz w:val="20"/>
          <w:szCs w:val="20"/>
          <w:bdr w:val="none" w:sz="0" w:space="0" w:color="auto" w:frame="1"/>
        </w:rPr>
      </w:pPr>
    </w:p>
    <w:p w:rsidR="00DA5083" w:rsidRPr="00DA5083" w:rsidRDefault="00DA5083" w:rsidP="00DA5083">
      <w:pPr>
        <w:spacing w:after="0" w:line="240" w:lineRule="auto"/>
        <w:textAlignment w:val="baseline"/>
        <w:rPr>
          <w:rFonts w:ascii="Segoe UI" w:eastAsia="Times New Roman" w:hAnsi="Segoe UI" w:cs="Segoe UI"/>
          <w:color w:val="333333"/>
          <w:sz w:val="20"/>
          <w:szCs w:val="20"/>
        </w:rPr>
      </w:pPr>
      <w:r w:rsidRPr="00DA5083">
        <w:rPr>
          <w:rFonts w:ascii="Segoe UI" w:eastAsia="Times New Roman" w:hAnsi="Segoe UI" w:cs="Segoe UI"/>
          <w:b/>
          <w:bCs/>
          <w:color w:val="333333"/>
          <w:sz w:val="20"/>
          <w:szCs w:val="20"/>
          <w:bdr w:val="none" w:sz="0" w:space="0" w:color="auto" w:frame="1"/>
        </w:rPr>
        <w:t xml:space="preserve">Raymond J. </w:t>
      </w:r>
      <w:proofErr w:type="spellStart"/>
      <w:r w:rsidRPr="00DA5083">
        <w:rPr>
          <w:rFonts w:ascii="Segoe UI" w:eastAsia="Times New Roman" w:hAnsi="Segoe UI" w:cs="Segoe UI"/>
          <w:b/>
          <w:bCs/>
          <w:color w:val="333333"/>
          <w:sz w:val="20"/>
          <w:szCs w:val="20"/>
          <w:bdr w:val="none" w:sz="0" w:space="0" w:color="auto" w:frame="1"/>
        </w:rPr>
        <w:t>Wlodkowski</w:t>
      </w:r>
      <w:proofErr w:type="spellEnd"/>
      <w:r w:rsidRPr="00DA5083">
        <w:rPr>
          <w:rFonts w:ascii="Segoe UI" w:eastAsia="Times New Roman" w:hAnsi="Segoe UI" w:cs="Segoe UI"/>
          <w:color w:val="333333"/>
          <w:sz w:val="20"/>
          <w:szCs w:val="20"/>
        </w:rPr>
        <w:t xml:space="preserve"> is an Educational and Psychological Consultant, 6033 Jay Rd., Boulder, CO 80301. </w:t>
      </w:r>
      <w:r w:rsidRPr="00DA5083">
        <w:rPr>
          <w:rFonts w:ascii="Segoe UI" w:eastAsia="Times New Roman" w:hAnsi="Segoe UI" w:cs="Segoe UI"/>
          <w:b/>
          <w:bCs/>
          <w:color w:val="333333"/>
          <w:sz w:val="20"/>
          <w:szCs w:val="20"/>
          <w:bdr w:val="none" w:sz="0" w:space="0" w:color="auto" w:frame="1"/>
        </w:rPr>
        <w:t>Margery B. Ginsberg</w:t>
      </w:r>
      <w:r w:rsidRPr="00DA5083">
        <w:rPr>
          <w:rFonts w:ascii="Segoe UI" w:eastAsia="Times New Roman" w:hAnsi="Segoe UI" w:cs="Segoe UI"/>
          <w:color w:val="333333"/>
          <w:sz w:val="20"/>
          <w:szCs w:val="20"/>
        </w:rPr>
        <w:t xml:space="preserve"> is Research Associate, RMC Research Corporation, Writer Square, Ste. 540, 1512 Larimer St., Denver, CO 80202.</w:t>
      </w:r>
    </w:p>
    <w:p w:rsidR="00772559" w:rsidRDefault="00C060E5" w:rsidP="00DA5083">
      <w:pPr>
        <w:spacing w:after="0" w:line="240" w:lineRule="auto"/>
        <w:rPr>
          <w:rFonts w:ascii="Segoe UI" w:hAnsi="Segoe UI" w:cs="Segoe UI"/>
          <w:sz w:val="20"/>
          <w:szCs w:val="20"/>
        </w:rPr>
      </w:pPr>
    </w:p>
    <w:p w:rsidR="00B568B6" w:rsidRDefault="00B568B6" w:rsidP="00DA5083">
      <w:pPr>
        <w:spacing w:after="0" w:line="240" w:lineRule="auto"/>
        <w:rPr>
          <w:rFonts w:ascii="Segoe UI" w:hAnsi="Segoe UI" w:cs="Segoe UI"/>
          <w:sz w:val="20"/>
          <w:szCs w:val="20"/>
        </w:rPr>
      </w:pPr>
    </w:p>
    <w:p w:rsidR="00B568B6" w:rsidRDefault="00C060E5" w:rsidP="00DA5083">
      <w:pPr>
        <w:spacing w:after="0" w:line="240" w:lineRule="auto"/>
        <w:rPr>
          <w:rFonts w:ascii="Segoe UI" w:hAnsi="Segoe UI" w:cs="Segoe UI"/>
          <w:sz w:val="20"/>
          <w:szCs w:val="20"/>
        </w:rPr>
      </w:pPr>
      <w:hyperlink r:id="rId10" w:history="1">
        <w:r w:rsidR="00B568B6" w:rsidRPr="00C921B1">
          <w:rPr>
            <w:rStyle w:val="Hyperlink"/>
            <w:rFonts w:ascii="Segoe UI" w:hAnsi="Segoe UI" w:cs="Segoe UI"/>
            <w:sz w:val="20"/>
            <w:szCs w:val="20"/>
          </w:rPr>
          <w:t>http://www.ascd.org/publications/educational-leadership/sept95/vol53/num01/A-Framework-for-Culturally-Responsive-Teaching.aspx</w:t>
        </w:r>
      </w:hyperlink>
    </w:p>
    <w:p w:rsidR="00B568B6" w:rsidRPr="00DA5083" w:rsidRDefault="00B568B6" w:rsidP="00DA5083">
      <w:pPr>
        <w:spacing w:after="0" w:line="240" w:lineRule="auto"/>
        <w:rPr>
          <w:rFonts w:ascii="Segoe UI" w:hAnsi="Segoe UI" w:cs="Segoe UI"/>
          <w:sz w:val="20"/>
          <w:szCs w:val="20"/>
        </w:rPr>
      </w:pPr>
    </w:p>
    <w:sectPr w:rsidR="00B568B6" w:rsidRPr="00DA5083" w:rsidSect="0009328B">
      <w:headerReference w:type="defaul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0E5" w:rsidRDefault="00C060E5" w:rsidP="005C6065">
      <w:pPr>
        <w:spacing w:after="0" w:line="240" w:lineRule="auto"/>
      </w:pPr>
      <w:r>
        <w:separator/>
      </w:r>
    </w:p>
  </w:endnote>
  <w:endnote w:type="continuationSeparator" w:id="0">
    <w:p w:rsidR="00C060E5" w:rsidRDefault="00C060E5" w:rsidP="005C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0E5" w:rsidRDefault="00C060E5" w:rsidP="005C6065">
      <w:pPr>
        <w:spacing w:after="0" w:line="240" w:lineRule="auto"/>
      </w:pPr>
      <w:r>
        <w:separator/>
      </w:r>
    </w:p>
  </w:footnote>
  <w:footnote w:type="continuationSeparator" w:id="0">
    <w:p w:rsidR="00C060E5" w:rsidRDefault="00C060E5" w:rsidP="005C6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407805"/>
      <w:docPartObj>
        <w:docPartGallery w:val="Page Numbers (Top of Page)"/>
        <w:docPartUnique/>
      </w:docPartObj>
    </w:sdtPr>
    <w:sdtEndPr>
      <w:rPr>
        <w:rFonts w:ascii="Segoe UI" w:hAnsi="Segoe UI" w:cs="Segoe UI"/>
        <w:noProof/>
        <w:sz w:val="18"/>
        <w:szCs w:val="18"/>
      </w:rPr>
    </w:sdtEndPr>
    <w:sdtContent>
      <w:p w:rsidR="005C6065" w:rsidRPr="005C6065" w:rsidRDefault="005C6065">
        <w:pPr>
          <w:pStyle w:val="Header"/>
          <w:jc w:val="right"/>
          <w:rPr>
            <w:rFonts w:ascii="Segoe UI" w:hAnsi="Segoe UI" w:cs="Segoe UI"/>
            <w:sz w:val="18"/>
            <w:szCs w:val="18"/>
          </w:rPr>
        </w:pPr>
        <w:r w:rsidRPr="005C6065">
          <w:rPr>
            <w:rFonts w:ascii="Segoe UI" w:hAnsi="Segoe UI" w:cs="Segoe UI"/>
            <w:sz w:val="18"/>
            <w:szCs w:val="18"/>
          </w:rPr>
          <w:fldChar w:fldCharType="begin"/>
        </w:r>
        <w:r w:rsidRPr="005C6065">
          <w:rPr>
            <w:rFonts w:ascii="Segoe UI" w:hAnsi="Segoe UI" w:cs="Segoe UI"/>
            <w:sz w:val="18"/>
            <w:szCs w:val="18"/>
          </w:rPr>
          <w:instrText xml:space="preserve"> PAGE   \* MERGEFORMAT </w:instrText>
        </w:r>
        <w:r w:rsidRPr="005C6065">
          <w:rPr>
            <w:rFonts w:ascii="Segoe UI" w:hAnsi="Segoe UI" w:cs="Segoe UI"/>
            <w:sz w:val="18"/>
            <w:szCs w:val="18"/>
          </w:rPr>
          <w:fldChar w:fldCharType="separate"/>
        </w:r>
        <w:r w:rsidR="0009328B">
          <w:rPr>
            <w:rFonts w:ascii="Segoe UI" w:hAnsi="Segoe UI" w:cs="Segoe UI"/>
            <w:noProof/>
            <w:sz w:val="18"/>
            <w:szCs w:val="18"/>
          </w:rPr>
          <w:t>2</w:t>
        </w:r>
        <w:r w:rsidRPr="005C6065">
          <w:rPr>
            <w:rFonts w:ascii="Segoe UI" w:hAnsi="Segoe UI" w:cs="Segoe UI"/>
            <w:noProof/>
            <w:sz w:val="18"/>
            <w:szCs w:val="18"/>
          </w:rPr>
          <w:fldChar w:fldCharType="end"/>
        </w:r>
      </w:p>
    </w:sdtContent>
  </w:sdt>
  <w:p w:rsidR="005C6065" w:rsidRDefault="005C6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594"/>
    <w:multiLevelType w:val="multilevel"/>
    <w:tmpl w:val="FB8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B6513"/>
    <w:multiLevelType w:val="multilevel"/>
    <w:tmpl w:val="BCF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B457F"/>
    <w:multiLevelType w:val="multilevel"/>
    <w:tmpl w:val="9562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76C6B"/>
    <w:multiLevelType w:val="multilevel"/>
    <w:tmpl w:val="4AE6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C5543"/>
    <w:multiLevelType w:val="multilevel"/>
    <w:tmpl w:val="4128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601CC"/>
    <w:multiLevelType w:val="multilevel"/>
    <w:tmpl w:val="283CF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83"/>
    <w:rsid w:val="0009328B"/>
    <w:rsid w:val="000A4D5B"/>
    <w:rsid w:val="000F2178"/>
    <w:rsid w:val="001A2D3F"/>
    <w:rsid w:val="004F69E0"/>
    <w:rsid w:val="005C6065"/>
    <w:rsid w:val="005E6ABA"/>
    <w:rsid w:val="00793BA7"/>
    <w:rsid w:val="00886574"/>
    <w:rsid w:val="008F38B0"/>
    <w:rsid w:val="009B4536"/>
    <w:rsid w:val="00A542DD"/>
    <w:rsid w:val="00B568B6"/>
    <w:rsid w:val="00C060E5"/>
    <w:rsid w:val="00C109BA"/>
    <w:rsid w:val="00DA5083"/>
    <w:rsid w:val="00E56EAD"/>
    <w:rsid w:val="00F76F31"/>
    <w:rsid w:val="00F9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2459"/>
  <w15:chartTrackingRefBased/>
  <w15:docId w15:val="{E16F872B-741E-4ECC-8844-D69566E7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A5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5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50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50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0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50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50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5083"/>
    <w:rPr>
      <w:rFonts w:ascii="Times New Roman" w:eastAsia="Times New Roman" w:hAnsi="Times New Roman" w:cs="Times New Roman"/>
      <w:b/>
      <w:bCs/>
      <w:sz w:val="24"/>
      <w:szCs w:val="24"/>
    </w:rPr>
  </w:style>
  <w:style w:type="paragraph" w:customStyle="1" w:styleId="author">
    <w:name w:val="author"/>
    <w:basedOn w:val="Normal"/>
    <w:rsid w:val="00DA5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rb">
    <w:name w:val="blurb"/>
    <w:basedOn w:val="Normal"/>
    <w:rsid w:val="00DA50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5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DA5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DA50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065"/>
  </w:style>
  <w:style w:type="paragraph" w:styleId="Footer">
    <w:name w:val="footer"/>
    <w:basedOn w:val="Normal"/>
    <w:link w:val="FooterChar"/>
    <w:uiPriority w:val="99"/>
    <w:unhideWhenUsed/>
    <w:rsid w:val="005C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65"/>
  </w:style>
  <w:style w:type="character" w:styleId="Hyperlink">
    <w:name w:val="Hyperlink"/>
    <w:basedOn w:val="DefaultParagraphFont"/>
    <w:uiPriority w:val="99"/>
    <w:unhideWhenUsed/>
    <w:rsid w:val="00B568B6"/>
    <w:rPr>
      <w:color w:val="0563C1" w:themeColor="hyperlink"/>
      <w:u w:val="single"/>
    </w:rPr>
  </w:style>
  <w:style w:type="character" w:styleId="UnresolvedMention">
    <w:name w:val="Unresolved Mention"/>
    <w:basedOn w:val="DefaultParagraphFont"/>
    <w:uiPriority w:val="99"/>
    <w:semiHidden/>
    <w:unhideWhenUsed/>
    <w:rsid w:val="00B568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701934">
      <w:bodyDiv w:val="1"/>
      <w:marLeft w:val="0"/>
      <w:marRight w:val="0"/>
      <w:marTop w:val="0"/>
      <w:marBottom w:val="0"/>
      <w:divBdr>
        <w:top w:val="none" w:sz="0" w:space="0" w:color="auto"/>
        <w:left w:val="none" w:sz="0" w:space="0" w:color="auto"/>
        <w:bottom w:val="none" w:sz="0" w:space="0" w:color="auto"/>
        <w:right w:val="none" w:sz="0" w:space="0" w:color="auto"/>
      </w:divBdr>
      <w:divsChild>
        <w:div w:id="424377033">
          <w:blockQuote w:val="1"/>
          <w:marLeft w:val="330"/>
          <w:marRight w:val="225"/>
          <w:marTop w:val="225"/>
          <w:marBottom w:val="225"/>
          <w:divBdr>
            <w:top w:val="none" w:sz="0" w:space="0" w:color="auto"/>
            <w:left w:val="none" w:sz="0" w:space="0" w:color="auto"/>
            <w:bottom w:val="none" w:sz="0" w:space="0" w:color="auto"/>
            <w:right w:val="none" w:sz="0" w:space="0" w:color="auto"/>
          </w:divBdr>
        </w:div>
        <w:div w:id="642659347">
          <w:blockQuote w:val="1"/>
          <w:marLeft w:val="330"/>
          <w:marRight w:val="225"/>
          <w:marTop w:val="225"/>
          <w:marBottom w:val="225"/>
          <w:divBdr>
            <w:top w:val="none" w:sz="0" w:space="0" w:color="auto"/>
            <w:left w:val="none" w:sz="0" w:space="0" w:color="auto"/>
            <w:bottom w:val="none" w:sz="0" w:space="0" w:color="auto"/>
            <w:right w:val="none" w:sz="0" w:space="0" w:color="auto"/>
          </w:divBdr>
        </w:div>
        <w:div w:id="1396977439">
          <w:blockQuote w:val="1"/>
          <w:marLeft w:val="330"/>
          <w:marRight w:val="225"/>
          <w:marTop w:val="225"/>
          <w:marBottom w:val="225"/>
          <w:divBdr>
            <w:top w:val="none" w:sz="0" w:space="0" w:color="auto"/>
            <w:left w:val="none" w:sz="0" w:space="0" w:color="auto"/>
            <w:bottom w:val="none" w:sz="0" w:space="0" w:color="auto"/>
            <w:right w:val="none" w:sz="0" w:space="0" w:color="auto"/>
          </w:divBdr>
        </w:div>
        <w:div w:id="95552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ultyfocus.com/author/cheryl-irish-edd-and-monica-scrubb-ed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scd.org/publications/educational-leadership/sept95/vol53/num01/A-Framework-for-Culturally-Responsive-Teaching.aspx" TargetMode="External"/><Relationship Id="rId4" Type="http://schemas.openxmlformats.org/officeDocument/2006/relationships/settings" Target="settings.xml"/><Relationship Id="rId9" Type="http://schemas.openxmlformats.org/officeDocument/2006/relationships/hyperlink" Target="https://www.facultyfocus.com/articles/teaching-and-learning/five-competencies-for-culturally-competent-teaching-an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6F1C-E5AC-436B-953B-5F27C657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Roxanne Newton</cp:lastModifiedBy>
  <cp:revision>5</cp:revision>
  <dcterms:created xsi:type="dcterms:W3CDTF">2018-02-03T17:09:00Z</dcterms:created>
  <dcterms:modified xsi:type="dcterms:W3CDTF">2018-02-05T16:47:00Z</dcterms:modified>
</cp:coreProperties>
</file>