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592" w:rsidRPr="00914592" w:rsidRDefault="00914592" w:rsidP="0091459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14592">
        <w:rPr>
          <w:rFonts w:cstheme="minorHAnsi"/>
          <w:b/>
          <w:sz w:val="28"/>
          <w:szCs w:val="28"/>
        </w:rPr>
        <w:t xml:space="preserve">Module </w:t>
      </w:r>
      <w:r w:rsidR="0061346B">
        <w:rPr>
          <w:rFonts w:cstheme="minorHAnsi"/>
          <w:b/>
          <w:sz w:val="28"/>
          <w:szCs w:val="28"/>
        </w:rPr>
        <w:t>2</w:t>
      </w:r>
      <w:r w:rsidRPr="00914592">
        <w:rPr>
          <w:rFonts w:cstheme="minorHAnsi"/>
          <w:b/>
          <w:sz w:val="28"/>
          <w:szCs w:val="28"/>
        </w:rPr>
        <w:t xml:space="preserve">:  </w:t>
      </w:r>
      <w:r w:rsidR="0061346B">
        <w:rPr>
          <w:rFonts w:cstheme="minorHAnsi"/>
          <w:b/>
          <w:sz w:val="28"/>
          <w:szCs w:val="28"/>
        </w:rPr>
        <w:t>Communication Ski</w:t>
      </w:r>
      <w:bookmarkStart w:id="0" w:name="_GoBack"/>
      <w:bookmarkEnd w:id="0"/>
      <w:r w:rsidR="0061346B">
        <w:rPr>
          <w:rFonts w:cstheme="minorHAnsi"/>
          <w:b/>
          <w:sz w:val="28"/>
          <w:szCs w:val="28"/>
        </w:rPr>
        <w:t>lls</w:t>
      </w:r>
    </w:p>
    <w:p w:rsidR="00914592" w:rsidRDefault="00914592" w:rsidP="00914592">
      <w:pPr>
        <w:spacing w:after="0" w:line="240" w:lineRule="auto"/>
        <w:rPr>
          <w:rFonts w:cstheme="minorHAnsi"/>
          <w:b/>
        </w:rPr>
      </w:pPr>
    </w:p>
    <w:p w:rsidR="0061346B" w:rsidRPr="00FC2072" w:rsidRDefault="0061346B" w:rsidP="0061346B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1</w:t>
      </w:r>
      <w:r w:rsidRPr="00FC2072">
        <w:rPr>
          <w:rFonts w:cstheme="minorHAnsi"/>
          <w:b/>
        </w:rPr>
        <w:t xml:space="preserve">.  The following are </w:t>
      </w:r>
      <w:r>
        <w:rPr>
          <w:rFonts w:cstheme="minorHAnsi"/>
          <w:b/>
        </w:rPr>
        <w:t xml:space="preserve">common </w:t>
      </w:r>
      <w:r w:rsidRPr="00FC2072">
        <w:rPr>
          <w:rFonts w:cstheme="minorHAnsi"/>
          <w:b/>
        </w:rPr>
        <w:t>types of communication used in the workplace:</w:t>
      </w:r>
    </w:p>
    <w:p w:rsidR="0061346B" w:rsidRPr="00FC2072" w:rsidRDefault="0061346B" w:rsidP="0061346B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Employee memos and HR correspondences</w:t>
      </w:r>
    </w:p>
    <w:p w:rsidR="0061346B" w:rsidRPr="00FC2072" w:rsidRDefault="0061346B" w:rsidP="0061346B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Emails and phone calls</w:t>
      </w:r>
    </w:p>
    <w:p w:rsidR="0061346B" w:rsidRPr="00FC2072" w:rsidRDefault="0061346B" w:rsidP="0061346B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Supervisory instructions</w:t>
      </w:r>
    </w:p>
    <w:p w:rsidR="0061346B" w:rsidRPr="00FC2072" w:rsidRDefault="0061346B" w:rsidP="0061346B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</w:t>
      </w:r>
      <w:r>
        <w:rPr>
          <w:rFonts w:cstheme="minorHAnsi"/>
        </w:rPr>
        <w:t>Oral</w:t>
      </w:r>
      <w:r w:rsidRPr="00FC2072">
        <w:rPr>
          <w:rFonts w:cstheme="minorHAnsi"/>
        </w:rPr>
        <w:t xml:space="preserve">, </w:t>
      </w:r>
      <w:r>
        <w:rPr>
          <w:rFonts w:cstheme="minorHAnsi"/>
        </w:rPr>
        <w:t xml:space="preserve">non-verbal, </w:t>
      </w:r>
      <w:r w:rsidRPr="00FC2072">
        <w:rPr>
          <w:rFonts w:cstheme="minorHAnsi"/>
        </w:rPr>
        <w:t>written</w:t>
      </w:r>
    </w:p>
    <w:p w:rsidR="0061346B" w:rsidRPr="00FC2072" w:rsidRDefault="0061346B" w:rsidP="0061346B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61346B" w:rsidRDefault="0061346B" w:rsidP="0061346B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f.  None of the above </w:t>
      </w:r>
    </w:p>
    <w:p w:rsidR="0061346B" w:rsidRPr="00FC2072" w:rsidRDefault="0061346B" w:rsidP="0061346B">
      <w:pPr>
        <w:spacing w:after="0" w:line="240" w:lineRule="auto"/>
        <w:rPr>
          <w:rFonts w:cstheme="minorHAnsi"/>
        </w:rPr>
      </w:pPr>
    </w:p>
    <w:p w:rsidR="0061346B" w:rsidRPr="00FC2072" w:rsidRDefault="0061346B" w:rsidP="0061346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Pr="00FC2072">
        <w:rPr>
          <w:rFonts w:cstheme="minorHAnsi"/>
          <w:b/>
        </w:rPr>
        <w:t>.  The National Career Readiness Certificate (NCRC) is a portable, evidence-based credential that measures:</w:t>
      </w:r>
    </w:p>
    <w:p w:rsidR="0061346B" w:rsidRPr="00FC2072" w:rsidRDefault="0061346B" w:rsidP="0061346B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Soft skills</w:t>
      </w:r>
    </w:p>
    <w:p w:rsidR="0061346B" w:rsidRPr="00FC2072" w:rsidRDefault="0061346B" w:rsidP="0061346B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Job-specific skills like welding or electrical skills</w:t>
      </w:r>
    </w:p>
    <w:p w:rsidR="0061346B" w:rsidRPr="00FC2072" w:rsidRDefault="0061346B" w:rsidP="0061346B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Essential workplace skills and is a reliable predictor of workplace success</w:t>
      </w:r>
    </w:p>
    <w:p w:rsidR="0061346B" w:rsidRDefault="0061346B" w:rsidP="0061346B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National jobs including the military or federal government</w:t>
      </w:r>
    </w:p>
    <w:p w:rsidR="0061346B" w:rsidRPr="00FC2072" w:rsidRDefault="0061346B" w:rsidP="0061346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e.  </w:t>
      </w:r>
      <w:proofErr w:type="gramStart"/>
      <w:r>
        <w:rPr>
          <w:rFonts w:cstheme="minorHAnsi"/>
        </w:rPr>
        <w:t>All of</w:t>
      </w:r>
      <w:proofErr w:type="gramEnd"/>
      <w:r>
        <w:rPr>
          <w:rFonts w:cstheme="minorHAnsi"/>
        </w:rPr>
        <w:t xml:space="preserve"> the above</w:t>
      </w:r>
    </w:p>
    <w:p w:rsidR="0061346B" w:rsidRPr="00FC2072" w:rsidRDefault="0061346B" w:rsidP="0061346B">
      <w:pPr>
        <w:spacing w:after="0" w:line="240" w:lineRule="auto"/>
        <w:rPr>
          <w:rFonts w:cstheme="minorHAnsi"/>
        </w:rPr>
      </w:pPr>
      <w:r>
        <w:rPr>
          <w:rFonts w:cstheme="minorHAnsi"/>
        </w:rPr>
        <w:t>f</w:t>
      </w:r>
      <w:r w:rsidRPr="00FC2072">
        <w:rPr>
          <w:rFonts w:cstheme="minorHAnsi"/>
        </w:rPr>
        <w:t>.  None of the above</w:t>
      </w:r>
    </w:p>
    <w:p w:rsidR="0061346B" w:rsidRPr="00FC2072" w:rsidRDefault="0061346B" w:rsidP="0061346B">
      <w:pPr>
        <w:spacing w:after="0" w:line="240" w:lineRule="auto"/>
        <w:rPr>
          <w:rFonts w:cstheme="minorHAnsi"/>
        </w:rPr>
      </w:pPr>
    </w:p>
    <w:p w:rsidR="0061346B" w:rsidRPr="00FC2072" w:rsidRDefault="0061346B" w:rsidP="0061346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</w:t>
      </w:r>
      <w:r w:rsidRPr="00FC2072">
        <w:rPr>
          <w:rFonts w:cstheme="minorHAnsi"/>
        </w:rPr>
        <w:t xml:space="preserve">.  </w:t>
      </w:r>
      <w:r w:rsidRPr="00FC2072">
        <w:rPr>
          <w:rFonts w:cstheme="minorHAnsi"/>
          <w:b/>
        </w:rPr>
        <w:t>The reason it is important to be able to locate and manipulate workplace documents is:</w:t>
      </w:r>
    </w:p>
    <w:p w:rsidR="0061346B" w:rsidRPr="00FC2072" w:rsidRDefault="0061346B" w:rsidP="0061346B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a.  The inability to do so could reflect poorly upon one’s workplace skills and could limit an employee’s </w:t>
      </w:r>
      <w:r>
        <w:rPr>
          <w:rFonts w:cstheme="minorHAnsi"/>
        </w:rPr>
        <w:t xml:space="preserve">      </w:t>
      </w:r>
      <w:r w:rsidRPr="00FC2072">
        <w:rPr>
          <w:rFonts w:cstheme="minorHAnsi"/>
        </w:rPr>
        <w:t xml:space="preserve">progression within an organization </w:t>
      </w:r>
    </w:p>
    <w:p w:rsidR="0061346B" w:rsidRPr="00FC2072" w:rsidRDefault="0061346B" w:rsidP="0061346B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Manipulating</w:t>
      </w:r>
      <w:r>
        <w:rPr>
          <w:rFonts w:cstheme="minorHAnsi"/>
        </w:rPr>
        <w:t xml:space="preserve"> (using)</w:t>
      </w:r>
      <w:r w:rsidRPr="00FC2072">
        <w:rPr>
          <w:rFonts w:cstheme="minorHAnsi"/>
        </w:rPr>
        <w:t xml:space="preserve"> workplace documents is </w:t>
      </w:r>
      <w:r>
        <w:rPr>
          <w:rFonts w:cstheme="minorHAnsi"/>
        </w:rPr>
        <w:t xml:space="preserve">a </w:t>
      </w:r>
      <w:r w:rsidRPr="00FC2072">
        <w:rPr>
          <w:rFonts w:cstheme="minorHAnsi"/>
        </w:rPr>
        <w:t xml:space="preserve">commonplace </w:t>
      </w:r>
      <w:r>
        <w:rPr>
          <w:rFonts w:cstheme="minorHAnsi"/>
        </w:rPr>
        <w:t>task for</w:t>
      </w:r>
      <w:r w:rsidRPr="00FC2072">
        <w:rPr>
          <w:rFonts w:cstheme="minorHAnsi"/>
        </w:rPr>
        <w:t xml:space="preserve"> most careers</w:t>
      </w:r>
    </w:p>
    <w:p w:rsidR="0061346B" w:rsidRPr="00FC2072" w:rsidRDefault="0061346B" w:rsidP="0061346B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Proper workplace documentation is critical to an organization’s success</w:t>
      </w:r>
    </w:p>
    <w:p w:rsidR="0061346B" w:rsidRPr="00A33D60" w:rsidRDefault="0061346B" w:rsidP="0061346B">
      <w:pPr>
        <w:spacing w:after="0" w:line="240" w:lineRule="auto"/>
        <w:rPr>
          <w:rFonts w:cstheme="minorHAnsi"/>
          <w:b/>
        </w:rPr>
      </w:pPr>
      <w:r w:rsidRPr="00A33D60">
        <w:rPr>
          <w:rFonts w:cstheme="minorHAnsi"/>
          <w:b/>
        </w:rPr>
        <w:t xml:space="preserve">d. </w:t>
      </w:r>
      <w:proofErr w:type="gramStart"/>
      <w:r w:rsidRPr="00A33D60">
        <w:rPr>
          <w:rFonts w:cstheme="minorHAnsi"/>
          <w:b/>
        </w:rPr>
        <w:t>All of</w:t>
      </w:r>
      <w:proofErr w:type="gramEnd"/>
      <w:r w:rsidRPr="00A33D60">
        <w:rPr>
          <w:rFonts w:cstheme="minorHAnsi"/>
          <w:b/>
        </w:rPr>
        <w:t xml:space="preserve"> the above</w:t>
      </w:r>
    </w:p>
    <w:p w:rsidR="0061346B" w:rsidRPr="00FC2072" w:rsidRDefault="0061346B" w:rsidP="0061346B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None of the above</w:t>
      </w:r>
    </w:p>
    <w:p w:rsidR="0061346B" w:rsidRPr="00FC2072" w:rsidRDefault="0061346B" w:rsidP="0061346B">
      <w:pPr>
        <w:spacing w:after="0" w:line="240" w:lineRule="auto"/>
        <w:rPr>
          <w:rFonts w:cstheme="minorHAnsi"/>
        </w:rPr>
      </w:pPr>
    </w:p>
    <w:p w:rsidR="0061346B" w:rsidRPr="00FC2072" w:rsidRDefault="0061346B" w:rsidP="0061346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Pr="00FC2072">
        <w:rPr>
          <w:rFonts w:cstheme="minorHAnsi"/>
          <w:b/>
        </w:rPr>
        <w:t xml:space="preserve">.  Regarding the NCRC, graphic literacy is </w:t>
      </w:r>
      <w:r>
        <w:rPr>
          <w:rFonts w:cstheme="minorHAnsi"/>
          <w:b/>
        </w:rPr>
        <w:t xml:space="preserve">fundamentally </w:t>
      </w:r>
      <w:r w:rsidRPr="00FC2072">
        <w:rPr>
          <w:rFonts w:cstheme="minorHAnsi"/>
          <w:b/>
        </w:rPr>
        <w:t>the ability to:</w:t>
      </w:r>
    </w:p>
    <w:p w:rsidR="0061346B" w:rsidRPr="00FC2072" w:rsidRDefault="0061346B" w:rsidP="0061346B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Read and interpret charts and graphs</w:t>
      </w:r>
    </w:p>
    <w:p w:rsidR="0061346B" w:rsidRPr="00FC2072" w:rsidRDefault="0061346B" w:rsidP="0061346B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Read and interpret instructions and directions</w:t>
      </w:r>
    </w:p>
    <w:p w:rsidR="0061346B" w:rsidRPr="00FC2072" w:rsidRDefault="0061346B" w:rsidP="0061346B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Both a &amp; b</w:t>
      </w:r>
    </w:p>
    <w:p w:rsidR="0061346B" w:rsidRPr="00FC2072" w:rsidRDefault="0061346B" w:rsidP="0061346B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Neither a nor b</w:t>
      </w:r>
    </w:p>
    <w:p w:rsidR="0061346B" w:rsidRPr="00FC2072" w:rsidRDefault="0061346B" w:rsidP="0061346B">
      <w:pPr>
        <w:spacing w:after="0" w:line="240" w:lineRule="auto"/>
        <w:rPr>
          <w:rFonts w:cstheme="minorHAnsi"/>
        </w:rPr>
      </w:pPr>
    </w:p>
    <w:p w:rsidR="0061346B" w:rsidRPr="00FC2072" w:rsidRDefault="0061346B" w:rsidP="0061346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5</w:t>
      </w:r>
      <w:r w:rsidRPr="00FC2072">
        <w:rPr>
          <w:rFonts w:cstheme="minorHAnsi"/>
          <w:b/>
        </w:rPr>
        <w:t>.  When delivering a five-minute presentation</w:t>
      </w:r>
      <w:r>
        <w:rPr>
          <w:rFonts w:cstheme="minorHAnsi"/>
          <w:b/>
        </w:rPr>
        <w:t xml:space="preserve"> involving new company procedures or rules</w:t>
      </w:r>
      <w:r w:rsidRPr="00FC2072">
        <w:rPr>
          <w:rFonts w:cstheme="minorHAnsi"/>
          <w:b/>
        </w:rPr>
        <w:t>, one should:</w:t>
      </w:r>
    </w:p>
    <w:p w:rsidR="0061346B" w:rsidRPr="00FC2072" w:rsidRDefault="0061346B" w:rsidP="0061346B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Take no longer than </w:t>
      </w:r>
      <w:proofErr w:type="gramStart"/>
      <w:r w:rsidRPr="00FC2072">
        <w:rPr>
          <w:rFonts w:cstheme="minorHAnsi"/>
        </w:rPr>
        <w:t>seven or eight minutes</w:t>
      </w:r>
      <w:proofErr w:type="gramEnd"/>
      <w:r w:rsidRPr="00FC2072">
        <w:rPr>
          <w:rFonts w:cstheme="minorHAnsi"/>
        </w:rPr>
        <w:t xml:space="preserve"> total</w:t>
      </w:r>
    </w:p>
    <w:p w:rsidR="0061346B" w:rsidRPr="00FC2072" w:rsidRDefault="0061346B" w:rsidP="0061346B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Stick to using PowerPoint which is preferred by professionals</w:t>
      </w:r>
    </w:p>
    <w:p w:rsidR="0061346B" w:rsidRPr="00FC2072" w:rsidRDefault="0061346B" w:rsidP="0061346B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Be succinct and to the point</w:t>
      </w:r>
    </w:p>
    <w:p w:rsidR="0061346B" w:rsidRPr="00FC2072" w:rsidRDefault="0061346B" w:rsidP="0061346B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Generalize and leave room for interpretation </w:t>
      </w:r>
    </w:p>
    <w:p w:rsidR="0061346B" w:rsidRPr="00FC2072" w:rsidRDefault="0061346B" w:rsidP="0061346B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61346B" w:rsidRPr="00FC2072" w:rsidRDefault="0061346B" w:rsidP="0061346B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914592" w:rsidRDefault="00914592" w:rsidP="00914592">
      <w:pPr>
        <w:spacing w:after="0"/>
        <w:rPr>
          <w:rFonts w:cstheme="minorHAnsi"/>
          <w:b/>
        </w:rPr>
      </w:pPr>
    </w:p>
    <w:p w:rsidR="002401C7" w:rsidRDefault="002401C7" w:rsidP="00914592">
      <w:pPr>
        <w:tabs>
          <w:tab w:val="left" w:pos="2070"/>
        </w:tabs>
      </w:pPr>
    </w:p>
    <w:sectPr w:rsidR="002401C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EA5" w:rsidRDefault="00BA1EA5" w:rsidP="00914592">
      <w:pPr>
        <w:spacing w:after="0" w:line="240" w:lineRule="auto"/>
      </w:pPr>
      <w:r>
        <w:separator/>
      </w:r>
    </w:p>
  </w:endnote>
  <w:endnote w:type="continuationSeparator" w:id="0">
    <w:p w:rsidR="00BA1EA5" w:rsidRDefault="00BA1EA5" w:rsidP="0091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EA5" w:rsidRDefault="00BA1EA5" w:rsidP="00914592">
      <w:pPr>
        <w:spacing w:after="0" w:line="240" w:lineRule="auto"/>
      </w:pPr>
      <w:r>
        <w:separator/>
      </w:r>
    </w:p>
  </w:footnote>
  <w:footnote w:type="continuationSeparator" w:id="0">
    <w:p w:rsidR="00BA1EA5" w:rsidRDefault="00BA1EA5" w:rsidP="00914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592" w:rsidRPr="00FA2E93" w:rsidRDefault="00914592" w:rsidP="00914592">
    <w:pPr>
      <w:pStyle w:val="Header"/>
      <w:ind w:left="-180"/>
      <w:jc w:val="center"/>
      <w:rPr>
        <w:rFonts w:ascii="Arial" w:hAnsi="Arial" w:cs="Arial"/>
        <w:b/>
        <w:sz w:val="24"/>
        <w:szCs w:val="24"/>
      </w:rPr>
    </w:pPr>
    <w:r w:rsidRPr="00FA2E93">
      <w:rPr>
        <w:rFonts w:ascii="Arial" w:hAnsi="Arial" w:cs="Arial"/>
        <w:b/>
        <w:sz w:val="24"/>
        <w:szCs w:val="24"/>
      </w:rPr>
      <w:t xml:space="preserve">Course </w:t>
    </w:r>
    <w:r>
      <w:rPr>
        <w:rFonts w:ascii="Arial" w:hAnsi="Arial" w:cs="Arial"/>
        <w:b/>
        <w:sz w:val="24"/>
        <w:szCs w:val="24"/>
      </w:rPr>
      <w:t>Quiz – Employment Skills (Pre-Apprenticeship)</w:t>
    </w:r>
  </w:p>
  <w:p w:rsidR="00914592" w:rsidRDefault="009145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92"/>
    <w:rsid w:val="00125D1B"/>
    <w:rsid w:val="002401C7"/>
    <w:rsid w:val="002F227F"/>
    <w:rsid w:val="0061346B"/>
    <w:rsid w:val="00914592"/>
    <w:rsid w:val="00AA4870"/>
    <w:rsid w:val="00B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DC492"/>
  <w15:chartTrackingRefBased/>
  <w15:docId w15:val="{14E2DA4C-F63A-475D-89A3-367BD758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59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592"/>
  </w:style>
  <w:style w:type="paragraph" w:styleId="Footer">
    <w:name w:val="footer"/>
    <w:basedOn w:val="Normal"/>
    <w:link w:val="FooterChar"/>
    <w:uiPriority w:val="99"/>
    <w:unhideWhenUsed/>
    <w:rsid w:val="0091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4</cp:revision>
  <dcterms:created xsi:type="dcterms:W3CDTF">2019-12-10T19:46:00Z</dcterms:created>
  <dcterms:modified xsi:type="dcterms:W3CDTF">2019-12-13T18:42:00Z</dcterms:modified>
</cp:coreProperties>
</file>