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- </w:t>
            </w:r>
            <w:r w:rsidR="005D1116">
              <w:rPr>
                <w:sz w:val="28"/>
                <w:szCs w:val="28"/>
              </w:rPr>
              <w:t>Educati</w:t>
            </w:r>
            <w:bookmarkStart w:id="0" w:name="_GoBack"/>
            <w:bookmarkEnd w:id="0"/>
            <w:r w:rsidR="005D1116">
              <w:rPr>
                <w:sz w:val="28"/>
                <w:szCs w:val="28"/>
              </w:rPr>
              <w:t>on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5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F836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2020-01-10T17:55:00Z</dcterms:modified>
</cp:coreProperties>
</file>